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方正仿宋_GBK"/>
          <w:sz w:val="32"/>
          <w:szCs w:val="32"/>
        </w:rPr>
      </w:pPr>
      <w:r>
        <w:rPr>
          <w:rFonts w:hint="eastAsia" w:eastAsia="方正仿宋_GBK"/>
          <w:sz w:val="32"/>
          <w:szCs w:val="32"/>
          <w:lang w:val="en-US" w:eastAsia="zh-CN"/>
        </w:rPr>
        <w:t xml:space="preserve">                                                                                                                                                                              </w:t>
      </w:r>
      <w:r>
        <w:rPr>
          <w:rFonts w:hint="eastAsia" w:eastAsia="方正仿宋_GBK"/>
          <w:sz w:val="32"/>
          <w:szCs w:val="32"/>
        </w:rPr>
        <w:t xml:space="preserve"> </w:t>
      </w:r>
    </w:p>
    <w:p>
      <w:pPr>
        <w:spacing w:line="4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乌鲁木齐职业大学</w:t>
      </w:r>
      <w:r>
        <w:rPr>
          <w:rFonts w:hint="eastAsia" w:ascii="Times New Roman" w:hAnsi="Times New Roman" w:eastAsia="方正小标宋_GBK" w:cs="Times New Roman"/>
          <w:sz w:val="44"/>
          <w:szCs w:val="44"/>
        </w:rPr>
        <w:t>2016年</w:t>
      </w:r>
    </w:p>
    <w:p>
      <w:pPr>
        <w:spacing w:line="4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部门决算公开信息</w:t>
      </w:r>
    </w:p>
    <w:p>
      <w:pPr>
        <w:spacing w:line="560" w:lineRule="exact"/>
        <w:ind w:firstLine="640" w:firstLineChars="200"/>
        <w:rPr>
          <w:rFonts w:ascii="仿宋_GB2312" w:hAnsi="Times New Roman" w:eastAsia="仿宋_GB2312" w:cs="Times New Roman"/>
          <w:sz w:val="32"/>
          <w:szCs w:val="32"/>
        </w:rPr>
      </w:pPr>
    </w:p>
    <w:p>
      <w:pPr>
        <w:spacing w:line="560" w:lineRule="exact"/>
        <w:jc w:val="center"/>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第一部分  乌鲁木齐职业大学概述</w:t>
      </w:r>
    </w:p>
    <w:p>
      <w:pPr>
        <w:widowControl/>
        <w:spacing w:line="560" w:lineRule="exact"/>
        <w:ind w:firstLine="643" w:firstLineChars="200"/>
        <w:jc w:val="left"/>
        <w:rPr>
          <w:rFonts w:ascii="仿宋_GB2312" w:hAnsi="新宋体" w:eastAsia="仿宋_GB2312" w:cs="Tahoma"/>
          <w:b/>
          <w:kern w:val="0"/>
          <w:sz w:val="32"/>
          <w:szCs w:val="32"/>
        </w:rPr>
      </w:pPr>
      <w:r>
        <w:rPr>
          <w:rFonts w:hint="eastAsia" w:ascii="仿宋_GB2312" w:hAnsi="新宋体" w:eastAsia="仿宋_GB2312" w:cs="Tahoma"/>
          <w:b/>
          <w:kern w:val="0"/>
          <w:sz w:val="32"/>
          <w:szCs w:val="32"/>
        </w:rPr>
        <w:t>一、基本情况</w:t>
      </w:r>
    </w:p>
    <w:p>
      <w:pPr>
        <w:widowControl/>
        <w:spacing w:line="560" w:lineRule="exact"/>
        <w:ind w:left="638" w:leftChars="304" w:firstLine="0" w:firstLineChars="0"/>
        <w:jc w:val="left"/>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 xml:space="preserve">(一)主要职能                                                                                                                                                                     </w:t>
      </w:r>
    </w:p>
    <w:p>
      <w:pPr>
        <w:widowControl/>
        <w:spacing w:line="560" w:lineRule="exact"/>
        <w:ind w:firstLine="640" w:firstLineChars="200"/>
        <w:jc w:val="left"/>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乌鲁木齐职业大学是乌鲁木齐市属唯一一所综合性全日制普通高等职业院校。2007年，经新疆维吾尔自治区人民政府批准，原乌鲁木齐职业大学与乌鲁木齐成人教育学院合并，组建新的乌鲁木齐职业大学，实行区、市共建、以市为主的管理体制</w:t>
      </w:r>
      <w:r>
        <w:rPr>
          <w:rFonts w:hint="eastAsia" w:ascii="仿宋_GB2312" w:hAnsi="新宋体" w:eastAsia="仿宋_GB2312" w:cs="Tahoma"/>
          <w:kern w:val="0"/>
          <w:sz w:val="32"/>
          <w:szCs w:val="32"/>
          <w:lang w:eastAsia="zh-CN"/>
        </w:rPr>
        <w:t>，属于副厅级全额拨款事业单位。</w:t>
      </w:r>
    </w:p>
    <w:p>
      <w:pPr>
        <w:widowControl/>
        <w:spacing w:line="560" w:lineRule="exact"/>
        <w:ind w:firstLine="640" w:firstLineChars="200"/>
        <w:jc w:val="left"/>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学校以高等职业教育为主体，以中等职业教育和成人继续教育为补充，同时开展职业技能培训及鉴定、会计继续教育培训、普通话测试、农民工劳动力转移培训、企业下岗人员培训、部队官兵现代技术培训及企业人员培训等社会服务项目、接受自治区和乌鲁木齐市委托培养的双语教育、中小学教学继续教育、中职骨干教师培训等各类培训和非学历教育。</w:t>
      </w:r>
    </w:p>
    <w:p>
      <w:pPr>
        <w:numPr>
          <w:ilvl w:val="0"/>
          <w:numId w:val="1"/>
        </w:numPr>
        <w:spacing w:line="560" w:lineRule="exact"/>
        <w:ind w:firstLine="640" w:firstLineChars="20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机构设置</w:t>
      </w:r>
    </w:p>
    <w:p>
      <w:pPr>
        <w:numPr>
          <w:ilvl w:val="0"/>
          <w:numId w:val="0"/>
        </w:numPr>
        <w:spacing w:line="560" w:lineRule="exact"/>
        <w:ind w:firstLine="64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学校共设36个下属机构，分为教学机构、教学管理教辅及科研机构、党务行政管理三类，其中教学机构16个，教学管理教辅及科研机构6个，党务行政管理机构14个。</w:t>
      </w:r>
    </w:p>
    <w:p>
      <w:pPr>
        <w:numPr>
          <w:ilvl w:val="0"/>
          <w:numId w:val="2"/>
        </w:numPr>
        <w:spacing w:line="560" w:lineRule="exact"/>
        <w:ind w:firstLine="64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人员编制：</w:t>
      </w:r>
    </w:p>
    <w:p>
      <w:pPr>
        <w:numPr>
          <w:ilvl w:val="0"/>
          <w:numId w:val="0"/>
        </w:num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2016年编制人数760人，实有在职人员720人，退休340人，离休3人。</w:t>
      </w:r>
    </w:p>
    <w:p>
      <w:pPr>
        <w:spacing w:line="560" w:lineRule="exact"/>
        <w:ind w:firstLine="643" w:firstLineChars="200"/>
        <w:rPr>
          <w:rFonts w:ascii="仿宋_GB2312" w:hAnsi="新宋体" w:eastAsia="仿宋_GB2312" w:cs="Tahoma"/>
          <w:b/>
          <w:kern w:val="0"/>
          <w:sz w:val="32"/>
          <w:szCs w:val="32"/>
        </w:rPr>
      </w:pPr>
      <w:r>
        <w:rPr>
          <w:rFonts w:hint="eastAsia" w:ascii="仿宋_GB2312" w:hAnsi="新宋体" w:eastAsia="仿宋_GB2312" w:cs="Tahoma"/>
          <w:b/>
          <w:kern w:val="0"/>
          <w:sz w:val="32"/>
          <w:szCs w:val="32"/>
        </w:rPr>
        <w:t>二、部门决算单位构成</w:t>
      </w:r>
    </w:p>
    <w:p>
      <w:pPr>
        <w:spacing w:line="560" w:lineRule="exact"/>
        <w:ind w:firstLine="640" w:firstLineChars="200"/>
        <w:rPr>
          <w:rFonts w:ascii="仿宋_GB2312" w:hAnsi="新宋体" w:eastAsia="仿宋_GB2312" w:cs="Tahoma"/>
          <w:kern w:val="0"/>
          <w:sz w:val="32"/>
          <w:szCs w:val="32"/>
        </w:rPr>
      </w:pPr>
      <w:r>
        <w:rPr>
          <w:rFonts w:hint="eastAsia" w:ascii="仿宋_GB2312" w:hAnsi="新宋体" w:eastAsia="仿宋_GB2312" w:cs="Tahoma"/>
          <w:kern w:val="0"/>
          <w:sz w:val="32"/>
          <w:szCs w:val="32"/>
        </w:rPr>
        <w:t>乌鲁木齐职业大学2016年部门决算报表编制范围的单位共计</w:t>
      </w:r>
      <w:r>
        <w:rPr>
          <w:rFonts w:hint="eastAsia" w:ascii="仿宋_GB2312" w:hAnsi="新宋体" w:eastAsia="仿宋_GB2312" w:cs="Tahoma"/>
          <w:kern w:val="0"/>
          <w:sz w:val="32"/>
          <w:szCs w:val="32"/>
          <w:lang w:val="en-US" w:eastAsia="zh-CN"/>
        </w:rPr>
        <w:t>1</w:t>
      </w:r>
      <w:r>
        <w:rPr>
          <w:rFonts w:hint="eastAsia" w:ascii="仿宋_GB2312" w:hAnsi="新宋体" w:eastAsia="仿宋_GB2312" w:cs="Tahoma"/>
          <w:kern w:val="0"/>
          <w:sz w:val="32"/>
          <w:szCs w:val="32"/>
        </w:rPr>
        <w:t>个，名单见下表：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95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spacing w:line="560" w:lineRule="exact"/>
              <w:jc w:val="center"/>
              <w:rPr>
                <w:rFonts w:ascii="仿宋_GB2312" w:hAnsi="新宋体" w:eastAsia="仿宋_GB2312" w:cs="Tahoma"/>
                <w:b/>
                <w:kern w:val="0"/>
                <w:sz w:val="32"/>
                <w:szCs w:val="32"/>
              </w:rPr>
            </w:pPr>
            <w:r>
              <w:rPr>
                <w:rFonts w:hint="eastAsia" w:ascii="仿宋_GB2312" w:hAnsi="新宋体" w:eastAsia="仿宋_GB2312" w:cs="Tahoma"/>
                <w:b/>
                <w:kern w:val="0"/>
                <w:sz w:val="32"/>
                <w:szCs w:val="32"/>
              </w:rPr>
              <w:t>序号</w:t>
            </w:r>
          </w:p>
        </w:tc>
        <w:tc>
          <w:tcPr>
            <w:tcW w:w="5953" w:type="dxa"/>
            <w:shd w:val="clear" w:color="auto" w:fill="auto"/>
          </w:tcPr>
          <w:p>
            <w:pPr>
              <w:spacing w:line="560" w:lineRule="exact"/>
              <w:jc w:val="center"/>
              <w:rPr>
                <w:rFonts w:ascii="仿宋_GB2312" w:hAnsi="新宋体" w:eastAsia="仿宋_GB2312" w:cs="Tahoma"/>
                <w:b/>
                <w:kern w:val="0"/>
                <w:sz w:val="32"/>
                <w:szCs w:val="32"/>
                <w:highlight w:val="yellow"/>
              </w:rPr>
            </w:pPr>
            <w:r>
              <w:rPr>
                <w:rFonts w:hint="eastAsia" w:ascii="仿宋_GB2312" w:hAnsi="新宋体" w:eastAsia="仿宋_GB2312" w:cs="Tahoma"/>
                <w:b/>
                <w:kern w:val="0"/>
                <w:sz w:val="32"/>
                <w:szCs w:val="32"/>
              </w:rPr>
              <w:t>单位名称</w:t>
            </w:r>
          </w:p>
        </w:tc>
        <w:tc>
          <w:tcPr>
            <w:tcW w:w="1610" w:type="dxa"/>
            <w:shd w:val="clear" w:color="auto" w:fill="auto"/>
          </w:tcPr>
          <w:p>
            <w:pPr>
              <w:spacing w:line="560" w:lineRule="exact"/>
              <w:jc w:val="center"/>
              <w:rPr>
                <w:rFonts w:ascii="仿宋_GB2312" w:hAnsi="新宋体" w:eastAsia="仿宋_GB2312" w:cs="Tahoma"/>
                <w:b/>
                <w:kern w:val="0"/>
                <w:sz w:val="32"/>
                <w:szCs w:val="32"/>
              </w:rPr>
            </w:pPr>
            <w:r>
              <w:rPr>
                <w:rFonts w:hint="eastAsia" w:ascii="仿宋_GB2312" w:hAnsi="新宋体" w:eastAsia="仿宋_GB2312" w:cs="Tahoma"/>
                <w:b/>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spacing w:line="560" w:lineRule="exact"/>
              <w:jc w:val="center"/>
              <w:rPr>
                <w:rFonts w:ascii="仿宋_GB2312" w:hAnsi="新宋体" w:eastAsia="仿宋_GB2312" w:cs="Tahoma"/>
                <w:kern w:val="0"/>
                <w:sz w:val="28"/>
                <w:szCs w:val="28"/>
              </w:rPr>
            </w:pPr>
            <w:r>
              <w:rPr>
                <w:rFonts w:hint="eastAsia" w:ascii="仿宋_GB2312" w:hAnsi="新宋体" w:eastAsia="仿宋_GB2312" w:cs="Tahoma"/>
                <w:kern w:val="0"/>
                <w:sz w:val="28"/>
                <w:szCs w:val="28"/>
              </w:rPr>
              <w:t>1</w:t>
            </w:r>
          </w:p>
        </w:tc>
        <w:tc>
          <w:tcPr>
            <w:tcW w:w="5953" w:type="dxa"/>
            <w:shd w:val="clear" w:color="auto" w:fill="auto"/>
          </w:tcPr>
          <w:p>
            <w:pPr>
              <w:spacing w:line="560" w:lineRule="exact"/>
              <w:rPr>
                <w:rFonts w:ascii="仿宋_GB2312" w:hAnsi="新宋体" w:eastAsia="仿宋_GB2312" w:cs="Tahoma"/>
                <w:kern w:val="0"/>
                <w:sz w:val="28"/>
                <w:szCs w:val="28"/>
              </w:rPr>
            </w:pPr>
            <w:r>
              <w:rPr>
                <w:rFonts w:hint="eastAsia" w:ascii="仿宋_GB2312" w:hAnsi="新宋体" w:eastAsia="仿宋_GB2312" w:cs="Tahoma"/>
                <w:kern w:val="0"/>
                <w:sz w:val="28"/>
                <w:szCs w:val="28"/>
              </w:rPr>
              <w:t>乌鲁木齐职业大学（本级）</w:t>
            </w:r>
          </w:p>
        </w:tc>
        <w:tc>
          <w:tcPr>
            <w:tcW w:w="1610" w:type="dxa"/>
            <w:shd w:val="clear" w:color="auto" w:fill="auto"/>
          </w:tcPr>
          <w:p>
            <w:pPr>
              <w:spacing w:line="560" w:lineRule="exact"/>
              <w:jc w:val="center"/>
              <w:rPr>
                <w:rFonts w:ascii="仿宋_GB2312" w:hAnsi="新宋体" w:eastAsia="仿宋_GB2312" w:cs="Tahoma"/>
                <w:kern w:val="0"/>
                <w:sz w:val="28"/>
                <w:szCs w:val="28"/>
              </w:rPr>
            </w:pPr>
            <w:r>
              <w:rPr>
                <w:rFonts w:hint="eastAsia" w:ascii="仿宋_GB2312" w:hAnsi="新宋体" w:eastAsia="仿宋_GB2312" w:cs="Tahoma"/>
                <w:kern w:val="0"/>
                <w:sz w:val="28"/>
                <w:szCs w:val="28"/>
                <w:lang w:eastAsia="zh-CN"/>
              </w:rPr>
              <w:t>事业</w:t>
            </w:r>
            <w:r>
              <w:rPr>
                <w:rFonts w:hint="eastAsia" w:ascii="仿宋_GB2312" w:hAnsi="新宋体" w:eastAsia="仿宋_GB2312" w:cs="Tahoma"/>
                <w:kern w:val="0"/>
                <w:sz w:val="28"/>
                <w:szCs w:val="28"/>
              </w:rPr>
              <w:t>单位</w:t>
            </w:r>
          </w:p>
        </w:tc>
      </w:tr>
    </w:tbl>
    <w:p>
      <w:pPr>
        <w:spacing w:line="560" w:lineRule="exact"/>
        <w:ind w:firstLine="640" w:firstLineChars="200"/>
        <w:rPr>
          <w:rFonts w:ascii="仿宋_GB2312" w:hAnsi="新宋体" w:eastAsia="仿宋_GB2312" w:cs="Tahoma"/>
          <w:kern w:val="0"/>
          <w:sz w:val="32"/>
          <w:szCs w:val="32"/>
        </w:rPr>
      </w:pPr>
    </w:p>
    <w:p>
      <w:pPr>
        <w:spacing w:line="460" w:lineRule="exact"/>
        <w:jc w:val="center"/>
        <w:rPr>
          <w:rFonts w:hint="eastAsia" w:ascii="仿宋_GB2312" w:hAnsi="Times New Roman" w:eastAsia="仿宋_GB2312" w:cs="Times New Roman"/>
          <w:b/>
          <w:sz w:val="32"/>
          <w:szCs w:val="32"/>
        </w:rPr>
      </w:pPr>
    </w:p>
    <w:p>
      <w:pPr>
        <w:spacing w:line="460" w:lineRule="exact"/>
        <w:jc w:val="center"/>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第二部分   乌鲁木齐职业大学2016年度部门决算报表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收入支出决算总表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财政拨款收入支出决算总表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收入支出决算表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收入决算表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基本支出决算明细表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项目支出决算明细表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lang w:eastAsia="zh-CN"/>
        </w:rPr>
        <w:t>项目</w:t>
      </w:r>
      <w:r>
        <w:rPr>
          <w:rFonts w:hint="eastAsia" w:ascii="仿宋_GB2312" w:hAnsi="新宋体" w:eastAsia="仿宋_GB2312" w:cs="Tahoma"/>
          <w:kern w:val="0"/>
          <w:sz w:val="32"/>
          <w:szCs w:val="32"/>
        </w:rPr>
        <w:t>收入支出决算表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行政事业类项目收入支出决算表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基本建设类项目收入支出决算表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一般公共预算财政拨款收入支出决算表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一般公共预算财政拨款支出决算明细表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一般公共预算财政拨款基本支出决算明细表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一般公共预算财政拨款项目支出决算明细表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政府性基金预算财政拨款收入支出决算表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政府性基金预算财政拨款支出决算表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政府性基金预算财政拨款基本支出决算明细表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政府性基金预算财政拨款项目支出决算明细表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财政专户管理资金收入支出决算表</w:t>
      </w:r>
    </w:p>
    <w:p>
      <w:pPr>
        <w:numPr>
          <w:ilvl w:val="0"/>
          <w:numId w:val="3"/>
        </w:num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资产负债表</w:t>
      </w:r>
    </w:p>
    <w:p>
      <w:pPr>
        <w:spacing w:line="560" w:lineRule="exact"/>
        <w:ind w:firstLine="640" w:firstLineChars="200"/>
        <w:rPr>
          <w:rFonts w:ascii="仿宋_GB2312" w:hAnsi="新宋体" w:eastAsia="仿宋_GB2312" w:cs="Tahoma"/>
          <w:kern w:val="0"/>
          <w:sz w:val="32"/>
          <w:szCs w:val="32"/>
        </w:rPr>
      </w:pPr>
      <w:r>
        <w:rPr>
          <w:rFonts w:hint="eastAsia" w:ascii="仿宋_GB2312" w:hAnsi="新宋体" w:eastAsia="仿宋_GB2312" w:cs="Tahoma"/>
          <w:kern w:val="0"/>
          <w:sz w:val="32"/>
          <w:szCs w:val="32"/>
        </w:rPr>
        <w:t>详细内容见附件1</w:t>
      </w:r>
    </w:p>
    <w:p>
      <w:pPr>
        <w:spacing w:line="560" w:lineRule="exact"/>
        <w:ind w:firstLine="640" w:firstLineChars="200"/>
        <w:rPr>
          <w:rFonts w:ascii="仿宋_GB2312" w:hAnsi="新宋体" w:eastAsia="仿宋_GB2312" w:cs="Tahoma"/>
          <w:kern w:val="0"/>
          <w:sz w:val="32"/>
          <w:szCs w:val="32"/>
        </w:rPr>
      </w:pPr>
      <w:r>
        <w:rPr>
          <w:rFonts w:hint="eastAsia" w:ascii="仿宋_GB2312" w:hAnsi="新宋体" w:eastAsia="仿宋_GB2312" w:cs="Tahoma"/>
          <w:kern w:val="0"/>
          <w:sz w:val="32"/>
          <w:szCs w:val="32"/>
        </w:rPr>
        <w:t>二十二、201</w:t>
      </w:r>
      <w:r>
        <w:rPr>
          <w:rFonts w:hint="eastAsia" w:ascii="仿宋_GB2312" w:hAnsi="新宋体" w:eastAsia="仿宋_GB2312" w:cs="Tahoma"/>
          <w:kern w:val="0"/>
          <w:sz w:val="32"/>
          <w:szCs w:val="32"/>
          <w:lang w:val="en-US" w:eastAsia="zh-CN"/>
        </w:rPr>
        <w:t>6</w:t>
      </w:r>
      <w:r>
        <w:rPr>
          <w:rFonts w:hint="eastAsia" w:ascii="仿宋_GB2312" w:hAnsi="新宋体" w:eastAsia="仿宋_GB2312" w:cs="Tahoma"/>
          <w:kern w:val="0"/>
          <w:sz w:val="32"/>
          <w:szCs w:val="32"/>
        </w:rPr>
        <w:t>年度财政拨款“三公”经费支出表及说明</w:t>
      </w:r>
    </w:p>
    <w:p>
      <w:pPr>
        <w:spacing w:line="560" w:lineRule="exact"/>
        <w:ind w:firstLine="640" w:firstLineChars="200"/>
        <w:rPr>
          <w:rFonts w:ascii="仿宋_GB2312" w:hAnsi="新宋体" w:eastAsia="仿宋_GB2312" w:cs="Tahoma"/>
          <w:kern w:val="0"/>
          <w:sz w:val="32"/>
          <w:szCs w:val="32"/>
        </w:rPr>
      </w:pPr>
      <w:r>
        <w:rPr>
          <w:rFonts w:hint="eastAsia" w:ascii="仿宋_GB2312" w:hAnsi="新宋体" w:eastAsia="仿宋_GB2312" w:cs="Tahoma"/>
          <w:kern w:val="0"/>
          <w:sz w:val="32"/>
          <w:szCs w:val="32"/>
        </w:rPr>
        <w:t>详细内容见附件2</w:t>
      </w:r>
    </w:p>
    <w:p>
      <w:pPr>
        <w:spacing w:line="560" w:lineRule="exact"/>
        <w:ind w:firstLine="643" w:firstLineChars="200"/>
        <w:rPr>
          <w:rFonts w:ascii="仿宋_GB2312" w:hAnsi="Times New Roman" w:eastAsia="仿宋_GB2312" w:cs="Times New Roman"/>
          <w:b/>
          <w:sz w:val="32"/>
          <w:szCs w:val="32"/>
        </w:rPr>
      </w:pPr>
    </w:p>
    <w:p>
      <w:pPr>
        <w:spacing w:line="560" w:lineRule="exact"/>
        <w:jc w:val="center"/>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第三部分 乌鲁木齐职业大学2016年度部门决算情况说明</w:t>
      </w:r>
    </w:p>
    <w:p>
      <w:pPr>
        <w:numPr>
          <w:ilvl w:val="0"/>
          <w:numId w:val="4"/>
        </w:numPr>
        <w:spacing w:line="560" w:lineRule="exact"/>
        <w:ind w:firstLine="640" w:firstLineChars="20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收入支出决算总体情况说明</w:t>
      </w:r>
    </w:p>
    <w:p>
      <w:pPr>
        <w:numPr>
          <w:ilvl w:val="0"/>
          <w:numId w:val="0"/>
        </w:num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上年结转和结余 10,651,286.85元</w:t>
      </w:r>
    </w:p>
    <w:p>
      <w:pPr>
        <w:numPr>
          <w:ilvl w:val="0"/>
          <w:numId w:val="0"/>
        </w:numPr>
        <w:spacing w:line="560" w:lineRule="exact"/>
        <w:ind w:firstLine="1280" w:firstLineChars="4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本年总收入：338,296,640.14元。</w:t>
      </w:r>
    </w:p>
    <w:p>
      <w:pPr>
        <w:numPr>
          <w:ilvl w:val="0"/>
          <w:numId w:val="0"/>
        </w:num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本年总支出：334,111,464.29元。</w:t>
      </w:r>
    </w:p>
    <w:p>
      <w:pPr>
        <w:numPr>
          <w:ilvl w:val="0"/>
          <w:numId w:val="0"/>
        </w:num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年末结转结余14,836,462.70元。</w:t>
      </w:r>
    </w:p>
    <w:p>
      <w:pPr>
        <w:pStyle w:val="11"/>
        <w:numPr>
          <w:ilvl w:val="0"/>
          <w:numId w:val="0"/>
        </w:numPr>
        <w:spacing w:line="560" w:lineRule="exact"/>
        <w:ind w:left="630" w:leftChars="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lang w:eastAsia="zh-CN"/>
        </w:rPr>
        <w:t>二、</w:t>
      </w:r>
      <w:r>
        <w:rPr>
          <w:rFonts w:hint="eastAsia" w:ascii="仿宋_GB2312" w:hAnsi="新宋体" w:eastAsia="仿宋_GB2312" w:cs="Tahoma"/>
          <w:kern w:val="0"/>
          <w:sz w:val="32"/>
          <w:szCs w:val="32"/>
        </w:rPr>
        <w:t>收入情况说明</w:t>
      </w:r>
    </w:p>
    <w:p>
      <w:pPr>
        <w:pStyle w:val="11"/>
        <w:numPr>
          <w:ilvl w:val="0"/>
          <w:numId w:val="0"/>
        </w:numPr>
        <w:spacing w:line="560" w:lineRule="exact"/>
        <w:ind w:left="630" w:leftChars="0" w:firstLine="64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总收入：338,296,640.14元，同比2015年增加36,916,608.19元，增长12.27%。</w:t>
      </w:r>
    </w:p>
    <w:p>
      <w:pPr>
        <w:pStyle w:val="11"/>
        <w:numPr>
          <w:ilvl w:val="0"/>
          <w:numId w:val="0"/>
        </w:numPr>
        <w:spacing w:line="560" w:lineRule="exact"/>
        <w:ind w:left="630" w:leftChars="0" w:firstLine="64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其中：</w:t>
      </w:r>
    </w:p>
    <w:p>
      <w:pPr>
        <w:pStyle w:val="11"/>
        <w:numPr>
          <w:ilvl w:val="0"/>
          <w:numId w:val="0"/>
        </w:numPr>
        <w:spacing w:line="560" w:lineRule="exact"/>
        <w:ind w:left="630" w:leftChars="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1、财政拨款291,091,646.08 元，同比2015年增加17,230,634.33元，增长6.29%。</w:t>
      </w:r>
    </w:p>
    <w:p>
      <w:pPr>
        <w:pStyle w:val="11"/>
        <w:numPr>
          <w:ilvl w:val="0"/>
          <w:numId w:val="5"/>
        </w:numPr>
        <w:spacing w:line="560" w:lineRule="exact"/>
        <w:ind w:left="630" w:leftChars="0"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其他收入47,204,994.06元，同比2015年增加24,505,300.98元，增长107.95%，本年度涉外处拨入还款本金46,138,693.41 元。</w:t>
      </w:r>
    </w:p>
    <w:p>
      <w:pPr>
        <w:spacing w:line="560" w:lineRule="exact"/>
        <w:ind w:firstLine="640" w:firstLineChars="20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三、支出情况说明</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总支出：334,111,464.29元，同比2015年减少9，862,058.38元，下降2.86%。</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1、基本支出 157,412,805.84元。其中：公共预算</w:t>
      </w:r>
    </w:p>
    <w:p>
      <w:pPr>
        <w:spacing w:line="560" w:lineRule="exact"/>
        <w:ind w:firstLine="1600" w:firstLineChars="5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财政拨款 157,412,805.84元。同比2015年增加5,634,131.01元，增长3.71%。</w:t>
      </w:r>
    </w:p>
    <w:p>
      <w:pPr>
        <w:numPr>
          <w:ilvl w:val="0"/>
          <w:numId w:val="5"/>
        </w:numPr>
        <w:spacing w:line="560" w:lineRule="exact"/>
        <w:ind w:left="630" w:leftChars="0"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项目支出 176,698,658.45元。同比2015年减少10,676,862.27元，下降5.69%</w:t>
      </w:r>
    </w:p>
    <w:p>
      <w:pPr>
        <w:numPr>
          <w:ilvl w:val="0"/>
          <w:numId w:val="0"/>
        </w:numPr>
        <w:spacing w:line="560" w:lineRule="exact"/>
        <w:ind w:firstLine="1280" w:firstLineChars="4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其中：公共预算财政拨款项目支出 124,688,004.22元。同比2015年</w:t>
      </w:r>
      <w:bookmarkStart w:id="0" w:name="_GoBack"/>
      <w:bookmarkEnd w:id="0"/>
      <w:r>
        <w:rPr>
          <w:rFonts w:hint="eastAsia" w:ascii="仿宋_GB2312" w:hAnsi="新宋体" w:eastAsia="仿宋_GB2312" w:cs="Tahoma"/>
          <w:kern w:val="0"/>
          <w:sz w:val="32"/>
          <w:szCs w:val="32"/>
          <w:lang w:val="en-US" w:eastAsia="zh-CN"/>
        </w:rPr>
        <w:t>减少33,196,495.35元，下降21.02%。</w:t>
      </w:r>
    </w:p>
    <w:p>
      <w:pPr>
        <w:spacing w:line="560" w:lineRule="exact"/>
        <w:ind w:firstLine="640" w:firstLineChars="20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四、结转结余情况说明</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（一）上年结转和结余 10,651,286.85元。</w:t>
      </w:r>
    </w:p>
    <w:p>
      <w:pPr>
        <w:spacing w:line="560" w:lineRule="exact"/>
        <w:ind w:firstLine="1280" w:firstLineChars="4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其中、项目支出结转 10,651,286.85元</w:t>
      </w:r>
    </w:p>
    <w:p>
      <w:pPr>
        <w:spacing w:line="560" w:lineRule="exact"/>
        <w:ind w:firstLine="1280" w:firstLineChars="4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（二）年末结转结余14,836,462.70元</w:t>
      </w:r>
    </w:p>
    <w:p>
      <w:pPr>
        <w:spacing w:line="560" w:lineRule="exact"/>
        <w:ind w:firstLine="1280" w:firstLineChars="4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其中：基本支出结转 4,885.10元。</w:t>
      </w:r>
    </w:p>
    <w:p>
      <w:pPr>
        <w:spacing w:line="560" w:lineRule="exact"/>
        <w:ind w:firstLine="2240" w:firstLineChars="7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项目支出结转 14,831,577.60元（具体项目详见附表十、行政事业类项目收入支出决算表）。</w:t>
      </w:r>
    </w:p>
    <w:p>
      <w:pPr>
        <w:spacing w:line="560" w:lineRule="exact"/>
        <w:ind w:firstLine="2240" w:firstLineChars="700"/>
        <w:rPr>
          <w:rFonts w:hint="eastAsia" w:ascii="仿宋_GB2312" w:hAnsi="新宋体" w:eastAsia="仿宋_GB2312" w:cs="Tahoma"/>
          <w:kern w:val="0"/>
          <w:sz w:val="32"/>
          <w:szCs w:val="32"/>
          <w:lang w:val="en-US" w:eastAsia="zh-CN"/>
        </w:rPr>
      </w:pPr>
    </w:p>
    <w:p>
      <w:pPr>
        <w:numPr>
          <w:ilvl w:val="0"/>
          <w:numId w:val="6"/>
        </w:numPr>
        <w:spacing w:line="560" w:lineRule="exact"/>
        <w:ind w:firstLine="645"/>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“三公”经费、会议费和培训支出情况说明</w:t>
      </w:r>
    </w:p>
    <w:p>
      <w:pPr>
        <w:numPr>
          <w:ilvl w:val="0"/>
          <w:numId w:val="0"/>
        </w:num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（一）因公出国（境）费用256,250.95元。同比2015年增加241,732.17元，增长1665.30%。本年度出国人员均按照相关要求经过严格审批出行。</w:t>
      </w:r>
    </w:p>
    <w:p>
      <w:pPr>
        <w:numPr>
          <w:ilvl w:val="0"/>
          <w:numId w:val="0"/>
        </w:num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（二）公务接待费8,099.00元。同比2015年减少1,890元，本年度学校严格控制公务接待活动及接待人员，接待标准等。</w:t>
      </w:r>
    </w:p>
    <w:p>
      <w:pPr>
        <w:numPr>
          <w:ilvl w:val="0"/>
          <w:numId w:val="0"/>
        </w:numPr>
        <w:spacing w:line="560" w:lineRule="exact"/>
        <w:ind w:firstLine="320" w:firstLineChars="1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（三）公务用车购置及运行维护费851,414.30元</w:t>
      </w:r>
    </w:p>
    <w:p>
      <w:pPr>
        <w:numPr>
          <w:ilvl w:val="0"/>
          <w:numId w:val="0"/>
        </w:numPr>
        <w:spacing w:line="560" w:lineRule="exact"/>
        <w:ind w:left="958" w:leftChars="304" w:hanging="320" w:hangingChars="1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其中：1、公务用车运行维护费851,414.30元；主要用</w:t>
      </w:r>
    </w:p>
    <w:p>
      <w:pPr>
        <w:numPr>
          <w:ilvl w:val="0"/>
          <w:numId w:val="0"/>
        </w:num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于我校日常办公、教学运转等方面公务用车的燃料费、修理费、保险费、过桥过路费、通行费等支出；同比2015年少324，808.31元，降低27.61%，本年度学校严格控制公务用车的燃料费、修理费、保险费、过桥过路费、通行费等支出。</w:t>
      </w:r>
    </w:p>
    <w:p>
      <w:pPr>
        <w:numPr>
          <w:ilvl w:val="0"/>
          <w:numId w:val="0"/>
        </w:num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2、公务用车购置费0元，同比2015年无变化。</w:t>
      </w:r>
    </w:p>
    <w:p>
      <w:pPr>
        <w:numPr>
          <w:ilvl w:val="0"/>
          <w:numId w:val="0"/>
        </w:numPr>
        <w:spacing w:line="560" w:lineRule="exact"/>
        <w:ind w:firstLine="320" w:firstLineChars="1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（四）会议费支出0元，同比2015年无变化。</w:t>
      </w:r>
    </w:p>
    <w:p>
      <w:pPr>
        <w:numPr>
          <w:ilvl w:val="0"/>
          <w:numId w:val="0"/>
        </w:numPr>
        <w:spacing w:line="560" w:lineRule="exact"/>
        <w:ind w:left="319" w:leftChars="152" w:firstLine="0" w:firstLineChars="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（五）培训费支出：879,989.50元，同比2015年增加351,414.80元，增长66.6%。本年度为积极申报本科院校提高学校办学质量，加大教师培训力度。</w:t>
      </w:r>
    </w:p>
    <w:p>
      <w:pPr>
        <w:widowControl/>
        <w:numPr>
          <w:ilvl w:val="0"/>
          <w:numId w:val="7"/>
        </w:numPr>
        <w:spacing w:line="560" w:lineRule="exact"/>
        <w:ind w:firstLine="630"/>
        <w:jc w:val="left"/>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部门预算执行情况分析说明</w:t>
      </w:r>
    </w:p>
    <w:p>
      <w:pPr>
        <w:widowControl/>
        <w:numPr>
          <w:ilvl w:val="0"/>
          <w:numId w:val="0"/>
        </w:numPr>
        <w:spacing w:line="560" w:lineRule="exact"/>
        <w:jc w:val="lef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部门预算中基本支出预算执行率为100%。</w:t>
      </w:r>
    </w:p>
    <w:p>
      <w:pPr>
        <w:widowControl/>
        <w:spacing w:line="560" w:lineRule="exact"/>
        <w:ind w:firstLine="630"/>
        <w:jc w:val="left"/>
        <w:rPr>
          <w:rFonts w:ascii="仿宋_GB2312" w:hAnsi="新宋体" w:eastAsia="仿宋_GB2312" w:cs="Tahoma"/>
          <w:kern w:val="0"/>
          <w:sz w:val="32"/>
          <w:szCs w:val="32"/>
        </w:rPr>
      </w:pPr>
      <w:r>
        <w:rPr>
          <w:rFonts w:hint="eastAsia" w:ascii="仿宋_GB2312" w:hAnsi="宋体" w:eastAsia="仿宋_GB2312" w:cs="宋体"/>
          <w:kern w:val="0"/>
          <w:sz w:val="32"/>
          <w:szCs w:val="32"/>
        </w:rPr>
        <w:t>七、其他重要事项的情况说明</w:t>
      </w:r>
    </w:p>
    <w:p>
      <w:pPr>
        <w:spacing w:line="560" w:lineRule="exact"/>
        <w:ind w:firstLine="640" w:firstLineChars="200"/>
        <w:rPr>
          <w:rFonts w:hint="eastAsia" w:ascii="新宋体" w:hAnsi="新宋体" w:eastAsia="仿宋_GB2312" w:cs="Tahoma"/>
          <w:kern w:val="0"/>
          <w:sz w:val="32"/>
          <w:szCs w:val="32"/>
        </w:rPr>
      </w:pPr>
      <w:r>
        <w:rPr>
          <w:rFonts w:hint="eastAsia" w:ascii="新宋体" w:hAnsi="新宋体" w:eastAsia="仿宋_GB2312" w:cs="Tahoma"/>
          <w:kern w:val="0"/>
          <w:sz w:val="32"/>
          <w:szCs w:val="32"/>
        </w:rPr>
        <w:t>（一）机关运行经费支出情况说明</w:t>
      </w:r>
    </w:p>
    <w:p>
      <w:pPr>
        <w:spacing w:line="560" w:lineRule="exact"/>
        <w:ind w:firstLine="640" w:firstLineChars="200"/>
        <w:rPr>
          <w:rFonts w:hint="eastAsia" w:ascii="新宋体" w:hAnsi="新宋体" w:eastAsia="仿宋_GB2312" w:cs="Tahoma"/>
          <w:kern w:val="0"/>
          <w:sz w:val="32"/>
          <w:szCs w:val="32"/>
        </w:rPr>
      </w:pPr>
      <w:r>
        <w:rPr>
          <w:rFonts w:hint="eastAsia" w:ascii="新宋体" w:hAnsi="新宋体" w:eastAsia="仿宋_GB2312" w:cs="Tahoma"/>
          <w:kern w:val="0"/>
          <w:sz w:val="32"/>
          <w:szCs w:val="32"/>
        </w:rPr>
        <w:t>本</w:t>
      </w:r>
      <w:r>
        <w:rPr>
          <w:rFonts w:hint="eastAsia" w:ascii="仿宋_GB2312" w:hAnsi="仿宋_GB2312" w:eastAsia="仿宋_GB2312" w:cs="仿宋_GB2312"/>
          <w:kern w:val="0"/>
          <w:sz w:val="32"/>
          <w:szCs w:val="32"/>
        </w:rPr>
        <w:t>年支出34,591,568.95元</w:t>
      </w:r>
      <w:r>
        <w:rPr>
          <w:rFonts w:hint="eastAsia" w:ascii="仿宋_GB2312" w:hAnsi="仿宋_GB2312" w:eastAsia="仿宋_GB2312" w:cs="仿宋_GB2312"/>
          <w:kern w:val="0"/>
          <w:sz w:val="32"/>
          <w:szCs w:val="32"/>
          <w:lang w:eastAsia="zh-CN"/>
        </w:rPr>
        <w:t>，同</w:t>
      </w:r>
      <w:r>
        <w:rPr>
          <w:rFonts w:hint="eastAsia" w:ascii="仿宋_GB2312" w:hAnsi="仿宋_GB2312" w:eastAsia="仿宋_GB2312" w:cs="仿宋_GB2312"/>
          <w:kern w:val="0"/>
          <w:sz w:val="32"/>
          <w:szCs w:val="32"/>
        </w:rPr>
        <w:t>比2015年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7，707，563.75</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，增长了</w:t>
      </w:r>
      <w:r>
        <w:rPr>
          <w:rFonts w:hint="eastAsia" w:ascii="仿宋_GB2312" w:hAnsi="仿宋_GB2312" w:eastAsia="仿宋_GB2312" w:cs="仿宋_GB2312"/>
          <w:kern w:val="0"/>
          <w:sz w:val="32"/>
          <w:szCs w:val="32"/>
          <w:lang w:val="en-US" w:eastAsia="zh-CN"/>
        </w:rPr>
        <w:t>28.66%</w:t>
      </w:r>
      <w:r>
        <w:rPr>
          <w:rFonts w:hint="eastAsia" w:ascii="仿宋_GB2312" w:hAnsi="仿宋_GB2312" w:eastAsia="仿宋_GB2312" w:cs="仿宋_GB2312"/>
          <w:kern w:val="0"/>
          <w:sz w:val="32"/>
          <w:szCs w:val="32"/>
        </w:rPr>
        <w:t>。主要是</w:t>
      </w:r>
      <w:r>
        <w:rPr>
          <w:rFonts w:hint="eastAsia" w:ascii="仿宋_GB2312" w:hAnsi="仿宋_GB2312" w:eastAsia="仿宋_GB2312" w:cs="仿宋_GB2312"/>
          <w:kern w:val="0"/>
          <w:sz w:val="32"/>
          <w:szCs w:val="32"/>
          <w:lang w:eastAsia="zh-CN"/>
        </w:rPr>
        <w:t>校区多，运营成本加大，新校区采用电采暖电费</w:t>
      </w:r>
      <w:r>
        <w:rPr>
          <w:rFonts w:hint="eastAsia" w:ascii="仿宋_GB2312" w:hAnsi="仿宋_GB2312" w:eastAsia="仿宋_GB2312" w:cs="仿宋_GB2312"/>
          <w:kern w:val="0"/>
          <w:sz w:val="32"/>
          <w:szCs w:val="32"/>
          <w:lang w:val="en-US" w:eastAsia="zh-CN"/>
        </w:rPr>
        <w:t>1，893，501.81元，</w:t>
      </w:r>
      <w:r>
        <w:rPr>
          <w:rFonts w:hint="eastAsia" w:ascii="仿宋_GB2312" w:hAnsi="仿宋_GB2312" w:eastAsia="仿宋_GB2312" w:cs="仿宋_GB2312"/>
          <w:kern w:val="0"/>
          <w:sz w:val="32"/>
          <w:szCs w:val="32"/>
          <w:lang w:eastAsia="zh-CN"/>
        </w:rPr>
        <w:t>水费增加</w:t>
      </w:r>
      <w:r>
        <w:rPr>
          <w:rFonts w:hint="eastAsia" w:ascii="仿宋_GB2312" w:hAnsi="仿宋_GB2312" w:eastAsia="仿宋_GB2312" w:cs="仿宋_GB2312"/>
          <w:kern w:val="0"/>
          <w:sz w:val="32"/>
          <w:szCs w:val="32"/>
          <w:lang w:val="en-US" w:eastAsia="zh-CN"/>
        </w:rPr>
        <w:t>415,087.37元，取暖费增加1,478,228.79元，物业管理费增加1,040,350.93元等</w:t>
      </w:r>
      <w:r>
        <w:rPr>
          <w:rFonts w:hint="eastAsia" w:ascii="新宋体" w:hAnsi="新宋体" w:eastAsia="仿宋_GB2312" w:cs="Tahoma"/>
          <w:kern w:val="0"/>
          <w:sz w:val="32"/>
          <w:szCs w:val="32"/>
        </w:rPr>
        <w:t>等。</w:t>
      </w:r>
    </w:p>
    <w:p>
      <w:pPr>
        <w:spacing w:line="560" w:lineRule="exact"/>
        <w:ind w:firstLine="640" w:firstLineChars="20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（二）国有资产占用情况说明</w:t>
      </w:r>
      <w:r>
        <w:rPr>
          <w:rFonts w:hint="eastAsia" w:ascii="仿宋_GB2312" w:hAnsi="新宋体" w:eastAsia="仿宋_GB2312" w:cs="Tahoma"/>
          <w:kern w:val="0"/>
          <w:sz w:val="32"/>
          <w:szCs w:val="32"/>
          <w:lang w:val="en-US" w:eastAsia="zh-CN"/>
        </w:rPr>
        <w:t>:</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资产总额年末数：832,231,629.11元(账面数)</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其中：流动资产111,398,866.40元</w:t>
      </w:r>
    </w:p>
    <w:p>
      <w:pPr>
        <w:spacing w:line="560" w:lineRule="exact"/>
        <w:ind w:firstLine="2560" w:firstLineChars="8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固定资产716,820,834.09元</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长期投资2,397,476.18元</w:t>
      </w:r>
    </w:p>
    <w:p>
      <w:pPr>
        <w:spacing w:line="560" w:lineRule="exact"/>
        <w:ind w:firstLine="2560" w:firstLineChars="8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在建工程 1,614,452.44元</w:t>
      </w:r>
    </w:p>
    <w:p>
      <w:p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因为财政部汇决算时调整双分录公式等问题，批</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复后决算资产数据为；</w:t>
      </w:r>
    </w:p>
    <w:p>
      <w:p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资产总额年末数：833,846,081.55元(批复数)</w:t>
      </w:r>
    </w:p>
    <w:p>
      <w:p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其中：流动资产113,013,318.84元</w:t>
      </w:r>
    </w:p>
    <w:p>
      <w:pPr>
        <w:spacing w:line="560" w:lineRule="exact"/>
        <w:ind w:firstLine="2240" w:firstLineChars="7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固定资产716,820,834.09元</w:t>
      </w:r>
    </w:p>
    <w:p>
      <w:p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长期投资2,397,476.18元</w:t>
      </w:r>
    </w:p>
    <w:p>
      <w:pPr>
        <w:spacing w:line="560" w:lineRule="exact"/>
        <w:ind w:firstLine="1920" w:firstLineChars="6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在建工程 1,614,452.44元</w:t>
      </w:r>
    </w:p>
    <w:p>
      <w:p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批复后数据比账面数流动资产增加1,614,452.44元，</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非流动资产基金增加1,614,452.44元，特此说明。</w:t>
      </w:r>
    </w:p>
    <w:p>
      <w:pPr>
        <w:spacing w:line="560" w:lineRule="exact"/>
        <w:rPr>
          <w:rFonts w:hint="eastAsia" w:ascii="仿宋_GB2312" w:hAnsi="新宋体" w:eastAsia="仿宋_GB2312" w:cs="Tahoma"/>
          <w:kern w:val="0"/>
          <w:sz w:val="32"/>
          <w:szCs w:val="32"/>
        </w:rPr>
      </w:pPr>
      <w:r>
        <w:rPr>
          <w:rFonts w:hint="eastAsia" w:ascii="仿宋_GB2312" w:hAnsi="新宋体" w:eastAsia="仿宋_GB2312" w:cs="Tahoma"/>
          <w:kern w:val="0"/>
          <w:sz w:val="32"/>
          <w:szCs w:val="32"/>
          <w:lang w:val="en-US" w:eastAsia="zh-CN"/>
        </w:rPr>
        <w:t xml:space="preserve">   </w:t>
      </w:r>
      <w:r>
        <w:rPr>
          <w:rFonts w:hint="eastAsia" w:ascii="仿宋_GB2312" w:hAnsi="新宋体" w:eastAsia="仿宋_GB2312" w:cs="Tahoma"/>
          <w:kern w:val="0"/>
          <w:sz w:val="32"/>
          <w:szCs w:val="32"/>
        </w:rPr>
        <w:t>（三）对已进行预算绩效管理工作（整体支出绩效和项</w:t>
      </w:r>
    </w:p>
    <w:p>
      <w:pPr>
        <w:spacing w:line="560" w:lineRule="exact"/>
        <w:ind w:firstLine="640" w:firstLineChars="20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目支出绩效）开展情况说明</w:t>
      </w:r>
    </w:p>
    <w:p>
      <w:pPr>
        <w:spacing w:line="560" w:lineRule="exact"/>
        <w:ind w:firstLine="960" w:firstLineChars="300"/>
        <w:rPr>
          <w:rFonts w:hint="eastAsia" w:ascii="仿宋_GB2312" w:hAnsi="新宋体" w:eastAsia="仿宋_GB2312" w:cs="Tahoma"/>
          <w:kern w:val="0"/>
          <w:sz w:val="32"/>
          <w:szCs w:val="32"/>
        </w:rPr>
      </w:pPr>
      <w:r>
        <w:rPr>
          <w:rFonts w:hint="eastAsia" w:ascii="仿宋_GB2312" w:hAnsi="新宋体" w:eastAsia="仿宋_GB2312" w:cs="Tahoma"/>
          <w:kern w:val="0"/>
          <w:sz w:val="32"/>
          <w:szCs w:val="32"/>
        </w:rPr>
        <w:t>根据年初预算，年末圆满完成年初项目制定的目标要求，保质、保量的完成</w:t>
      </w:r>
      <w:r>
        <w:rPr>
          <w:rFonts w:hint="eastAsia" w:ascii="仿宋_GB2312" w:hAnsi="新宋体" w:eastAsia="仿宋_GB2312" w:cs="Tahoma"/>
          <w:kern w:val="0"/>
          <w:sz w:val="32"/>
          <w:szCs w:val="32"/>
          <w:lang w:eastAsia="zh-CN"/>
        </w:rPr>
        <w:t>，取得良好社会效益。</w:t>
      </w:r>
      <w:r>
        <w:rPr>
          <w:rFonts w:hint="eastAsia" w:ascii="仿宋_GB2312" w:hAnsi="新宋体" w:eastAsia="仿宋_GB2312" w:cs="Tahoma"/>
          <w:kern w:val="0"/>
          <w:sz w:val="32"/>
          <w:szCs w:val="32"/>
        </w:rPr>
        <w:t>对项目资金按项目单独核算，实行“专款专用、专人管理”，行政运行费不得挤占、挪用项目资金。强化监督项目的正常实施。</w:t>
      </w:r>
    </w:p>
    <w:p>
      <w:p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（四）政府采购执行情况说明：</w:t>
      </w:r>
    </w:p>
    <w:p>
      <w:pPr>
        <w:spacing w:line="560" w:lineRule="exact"/>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 xml:space="preserve">        本年度政府采购执行数为20,859,985.66元，含货</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物10,207,614.80元，工程6,583,038.64元，服务</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4,069,332.22元；其中一般公共预算拨款：</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1,895,713.00元。其他资金18,964,272.66元，非财政</w:t>
      </w:r>
    </w:p>
    <w:p>
      <w:pPr>
        <w:spacing w:line="560" w:lineRule="exact"/>
        <w:ind w:firstLine="640" w:firstLineChars="200"/>
        <w:rPr>
          <w:rFonts w:hint="eastAsia" w:ascii="仿宋_GB2312" w:hAnsi="新宋体" w:eastAsia="仿宋_GB2312" w:cs="Tahoma"/>
          <w:kern w:val="0"/>
          <w:sz w:val="32"/>
          <w:szCs w:val="32"/>
          <w:lang w:val="en-US" w:eastAsia="zh-CN"/>
        </w:rPr>
      </w:pPr>
      <w:r>
        <w:rPr>
          <w:rFonts w:hint="eastAsia" w:ascii="仿宋_GB2312" w:hAnsi="新宋体" w:eastAsia="仿宋_GB2312" w:cs="Tahoma"/>
          <w:kern w:val="0"/>
          <w:sz w:val="32"/>
          <w:szCs w:val="32"/>
          <w:lang w:val="en-US" w:eastAsia="zh-CN"/>
        </w:rPr>
        <w:t>性资金56,070.00元。</w:t>
      </w:r>
    </w:p>
    <w:p>
      <w:pPr>
        <w:spacing w:line="560" w:lineRule="exact"/>
        <w:rPr>
          <w:rFonts w:ascii="仿宋_GB2312" w:hAnsi="新宋体" w:eastAsia="仿宋_GB2312" w:cs="Tahoma"/>
          <w:b/>
          <w:kern w:val="0"/>
          <w:sz w:val="32"/>
          <w:szCs w:val="32"/>
        </w:rPr>
      </w:pPr>
      <w:r>
        <w:rPr>
          <w:rFonts w:hint="eastAsia" w:ascii="仿宋_GB2312" w:hAnsi="新宋体" w:eastAsia="仿宋_GB2312" w:cs="Tahoma"/>
          <w:kern w:val="0"/>
          <w:sz w:val="32"/>
          <w:szCs w:val="32"/>
        </w:rPr>
        <w:t xml:space="preserve">   </w:t>
      </w:r>
      <w:r>
        <w:rPr>
          <w:rFonts w:hint="eastAsia" w:ascii="仿宋_GB2312" w:hAnsi="新宋体" w:eastAsia="仿宋_GB2312" w:cs="Tahoma"/>
          <w:b/>
          <w:kern w:val="0"/>
          <w:sz w:val="32"/>
          <w:szCs w:val="32"/>
        </w:rPr>
        <w:t xml:space="preserve">八、专业名词解释 </w:t>
      </w:r>
    </w:p>
    <w:p>
      <w:pPr>
        <w:spacing w:line="560" w:lineRule="exact"/>
        <w:ind w:firstLine="660"/>
        <w:rPr>
          <w:rFonts w:ascii="仿宋_GB2312" w:hAnsi="新宋体" w:eastAsia="仿宋_GB2312" w:cs="Tahoma"/>
          <w:kern w:val="0"/>
          <w:sz w:val="32"/>
          <w:szCs w:val="32"/>
        </w:rPr>
      </w:pPr>
      <w:r>
        <w:rPr>
          <w:rFonts w:hint="eastAsia" w:ascii="仿宋_GB2312" w:hAnsi="新宋体" w:eastAsia="仿宋_GB2312" w:cs="Tahoma"/>
          <w:kern w:val="0"/>
          <w:sz w:val="32"/>
          <w:szCs w:val="32"/>
        </w:rPr>
        <w:t>“三公”经费是：因公出国（境）费、公务接待费和公务用车购置及运行维护费。</w:t>
      </w:r>
    </w:p>
    <w:p>
      <w:pPr>
        <w:spacing w:line="560" w:lineRule="exact"/>
        <w:ind w:firstLine="660"/>
        <w:rPr>
          <w:rFonts w:ascii="仿宋_GB2312" w:hAnsi="新宋体" w:eastAsia="仿宋_GB2312" w:cs="Tahoma"/>
          <w:kern w:val="0"/>
          <w:sz w:val="32"/>
          <w:szCs w:val="32"/>
        </w:rPr>
      </w:pPr>
      <w:r>
        <w:rPr>
          <w:rFonts w:hint="eastAsia" w:ascii="仿宋_GB2312" w:hAnsi="新宋体" w:eastAsia="仿宋_GB2312" w:cs="Tahoma"/>
          <w:kern w:val="0"/>
          <w:sz w:val="32"/>
          <w:szCs w:val="32"/>
        </w:rPr>
        <w:t xml:space="preserve">“机关运行经费”是：行政单位和参照公务员法管理的事业单位使用一般公共预算财政拨款安排的基本支出中的日常公用经费支出。 </w:t>
      </w:r>
    </w:p>
    <w:p>
      <w:pPr>
        <w:spacing w:line="560" w:lineRule="exact"/>
        <w:rPr>
          <w:rFonts w:ascii="仿宋_GB2312" w:hAnsi="新宋体" w:eastAsia="仿宋_GB2312" w:cs="Tahoma"/>
          <w:kern w:val="0"/>
          <w:sz w:val="32"/>
          <w:szCs w:val="32"/>
        </w:rPr>
      </w:pPr>
      <w:r>
        <w:rPr>
          <w:rFonts w:hint="eastAsia" w:ascii="仿宋_GB2312" w:hAnsi="新宋体" w:eastAsia="仿宋_GB2312" w:cs="Tahoma"/>
          <w:b/>
          <w:kern w:val="0"/>
          <w:sz w:val="32"/>
          <w:szCs w:val="32"/>
        </w:rPr>
        <w:t xml:space="preserve">   </w:t>
      </w:r>
      <w:r>
        <w:rPr>
          <w:rFonts w:hint="eastAsia" w:ascii="仿宋_GB2312" w:hAnsi="新宋体" w:eastAsia="仿宋_GB2312" w:cs="Tahoma"/>
          <w:kern w:val="0"/>
          <w:sz w:val="32"/>
          <w:szCs w:val="32"/>
        </w:rPr>
        <w:t>附件：1.乌鲁木齐职业大学2016年度决算报表</w:t>
      </w:r>
    </w:p>
    <w:p>
      <w:p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 xml:space="preserve">         2.2016年乌鲁木齐职业大学财政拨款“三公”经费及说明</w:t>
      </w:r>
    </w:p>
    <w:p>
      <w:pPr>
        <w:spacing w:line="560" w:lineRule="exact"/>
        <w:rPr>
          <w:rFonts w:ascii="仿宋_GB2312" w:hAnsi="新宋体" w:eastAsia="仿宋_GB2312" w:cs="Tahoma"/>
          <w:kern w:val="0"/>
          <w:sz w:val="32"/>
          <w:szCs w:val="32"/>
        </w:rPr>
      </w:pPr>
      <w:r>
        <w:rPr>
          <w:rFonts w:hint="eastAsia" w:ascii="仿宋_GB2312" w:hAnsi="新宋体" w:eastAsia="仿宋_GB2312" w:cs="Tahoma"/>
          <w:kern w:val="0"/>
          <w:sz w:val="32"/>
          <w:szCs w:val="32"/>
        </w:rPr>
        <w:t xml:space="preserve">                  </w:t>
      </w:r>
    </w:p>
    <w:p>
      <w:pPr>
        <w:spacing w:line="560" w:lineRule="exact"/>
        <w:ind w:firstLine="4480" w:firstLineChars="1400"/>
        <w:rPr>
          <w:rFonts w:ascii="仿宋_GB2312" w:hAnsi="新宋体" w:eastAsia="仿宋_GB2312" w:cs="Tahoma"/>
          <w:kern w:val="0"/>
          <w:sz w:val="32"/>
          <w:szCs w:val="32"/>
        </w:rPr>
      </w:pPr>
    </w:p>
    <w:p>
      <w:pPr>
        <w:spacing w:line="560" w:lineRule="exact"/>
        <w:ind w:firstLine="4480" w:firstLineChars="1400"/>
        <w:rPr>
          <w:rFonts w:ascii="仿宋_GB2312" w:hAnsi="新宋体" w:eastAsia="仿宋_GB2312" w:cs="Tahoma"/>
          <w:kern w:val="0"/>
          <w:sz w:val="32"/>
          <w:szCs w:val="32"/>
        </w:rPr>
      </w:pPr>
    </w:p>
    <w:p>
      <w:pPr>
        <w:spacing w:line="560" w:lineRule="exact"/>
        <w:ind w:firstLine="5120" w:firstLineChars="1600"/>
        <w:rPr>
          <w:rFonts w:ascii="仿宋_GB2312" w:hAnsi="新宋体" w:eastAsia="仿宋_GB2312" w:cs="Tahoma"/>
          <w:kern w:val="0"/>
          <w:sz w:val="32"/>
          <w:szCs w:val="32"/>
        </w:rPr>
      </w:pPr>
      <w:r>
        <w:rPr>
          <w:rFonts w:hint="eastAsia" w:ascii="仿宋_GB2312" w:hAnsi="新宋体" w:eastAsia="仿宋_GB2312" w:cs="Tahoma"/>
          <w:kern w:val="0"/>
          <w:sz w:val="32"/>
          <w:szCs w:val="32"/>
        </w:rPr>
        <w:t>2017年7月</w:t>
      </w:r>
      <w:r>
        <w:rPr>
          <w:rFonts w:hint="eastAsia" w:ascii="仿宋_GB2312" w:hAnsi="新宋体" w:eastAsia="仿宋_GB2312" w:cs="Tahoma"/>
          <w:kern w:val="0"/>
          <w:sz w:val="32"/>
          <w:szCs w:val="32"/>
          <w:lang w:val="en-US" w:eastAsia="zh-CN"/>
        </w:rPr>
        <w:t>3</w:t>
      </w:r>
      <w:r>
        <w:rPr>
          <w:rFonts w:hint="eastAsia" w:ascii="仿宋_GB2312" w:hAnsi="新宋体" w:eastAsia="仿宋_GB2312" w:cs="Tahoma"/>
          <w:kern w:val="0"/>
          <w:sz w:val="32"/>
          <w:szCs w:val="32"/>
        </w:rPr>
        <w:t>日</w:t>
      </w:r>
    </w:p>
    <w:p>
      <w:pPr>
        <w:spacing w:line="560" w:lineRule="exact"/>
        <w:rPr>
          <w:rFonts w:ascii="方正仿宋_GBK" w:hAnsi="Calibri" w:eastAsia="方正仿宋_GBK" w:cs="Times New Roman"/>
          <w:sz w:val="32"/>
          <w:szCs w:val="32"/>
        </w:rPr>
      </w:pPr>
    </w:p>
    <w:p>
      <w:pPr>
        <w:spacing w:line="560" w:lineRule="exact"/>
        <w:rPr>
          <w:rFonts w:ascii="方正仿宋_GBK" w:hAnsi="Calibri" w:eastAsia="方正仿宋_GBK" w:cs="Times New Roman"/>
          <w:sz w:val="32"/>
          <w:szCs w:val="32"/>
        </w:rPr>
      </w:pPr>
    </w:p>
    <w:p>
      <w:pPr>
        <w:spacing w:line="560" w:lineRule="exact"/>
        <w:rPr>
          <w:rFonts w:ascii="方正仿宋_GBK" w:hAnsi="Calibri" w:eastAsia="方正仿宋_GBK" w:cs="Times New Roman"/>
          <w:sz w:val="32"/>
          <w:szCs w:val="32"/>
        </w:rPr>
      </w:pPr>
    </w:p>
    <w:p>
      <w:pPr>
        <w:spacing w:line="560" w:lineRule="exact"/>
        <w:rPr>
          <w:rFonts w:ascii="方正仿宋_GBK" w:hAnsi="Calibri" w:eastAsia="方正仿宋_GBK" w:cs="Times New Roman"/>
          <w:sz w:val="32"/>
          <w:szCs w:val="32"/>
        </w:rPr>
      </w:pPr>
    </w:p>
    <w:p>
      <w:pPr>
        <w:spacing w:line="560" w:lineRule="exact"/>
        <w:rPr>
          <w:rFonts w:ascii="方正仿宋_GBK" w:hAnsi="Calibri" w:eastAsia="方正仿宋_GBK" w:cs="Times New Roman"/>
          <w:sz w:val="32"/>
          <w:szCs w:val="32"/>
        </w:rPr>
      </w:pPr>
    </w:p>
    <w:p>
      <w:pPr>
        <w:spacing w:line="560" w:lineRule="exact"/>
        <w:rPr>
          <w:rFonts w:ascii="方正仿宋_GBK" w:hAnsi="Calibri" w:eastAsia="方正仿宋_GBK" w:cs="Times New Roman"/>
          <w:sz w:val="32"/>
          <w:szCs w:val="32"/>
        </w:rPr>
      </w:pPr>
      <w:r>
        <w:rPr>
          <w:rFonts w:hint="eastAsia" w:ascii="方正仿宋_GBK" w:hAnsi="Calibri" w:eastAsia="方正仿宋_GBK" w:cs="Times New Roman"/>
          <w:sz w:val="32"/>
          <w:szCs w:val="32"/>
        </w:rPr>
        <w:t>附件1：</w:t>
      </w:r>
    </w:p>
    <w:p>
      <w:pPr>
        <w:spacing w:line="560" w:lineRule="exact"/>
        <w:jc w:val="center"/>
        <w:rPr>
          <w:rFonts w:ascii="方正仿宋_GBK" w:hAnsi="Calibri" w:eastAsia="方正仿宋_GBK" w:cs="Times New Roman"/>
          <w:b/>
          <w:sz w:val="32"/>
          <w:szCs w:val="32"/>
        </w:rPr>
      </w:pPr>
      <w:r>
        <w:rPr>
          <w:rFonts w:hint="eastAsia" w:ascii="方正仿宋_GBK" w:hAnsi="Calibri" w:eastAsia="方正仿宋_GBK" w:cs="Times New Roman"/>
          <w:b/>
          <w:sz w:val="32"/>
          <w:szCs w:val="32"/>
        </w:rPr>
        <w:t>201</w:t>
      </w:r>
      <w:r>
        <w:rPr>
          <w:rFonts w:hint="eastAsia" w:ascii="方正仿宋_GBK" w:hAnsi="Calibri" w:eastAsia="方正仿宋_GBK" w:cs="Times New Roman"/>
          <w:b/>
          <w:sz w:val="32"/>
          <w:szCs w:val="32"/>
          <w:lang w:val="en-US" w:eastAsia="zh-CN"/>
        </w:rPr>
        <w:t>6</w:t>
      </w:r>
      <w:r>
        <w:rPr>
          <w:rFonts w:hint="eastAsia" w:ascii="方正仿宋_GBK" w:hAnsi="Calibri" w:eastAsia="方正仿宋_GBK" w:cs="Times New Roman"/>
          <w:b/>
          <w:sz w:val="32"/>
          <w:szCs w:val="32"/>
        </w:rPr>
        <w:t>年部门决算公开表</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1</w:t>
      </w:r>
      <w:r>
        <w:rPr>
          <w:rFonts w:hint="eastAsia" w:ascii="仿宋_GB2312" w:hAnsi="Calibri" w:eastAsia="仿宋_GB2312" w:cs="Times New Roman"/>
          <w:sz w:val="32"/>
          <w:szCs w:val="32"/>
        </w:rPr>
        <w:t>、收支决算总表、财政拨款收入支出决算总表，共计</w:t>
      </w:r>
      <w:r>
        <w:rPr>
          <w:rFonts w:ascii="仿宋_GB2312" w:hAnsi="Calibri" w:eastAsia="仿宋_GB2312" w:cs="Times New Roman"/>
          <w:sz w:val="32"/>
          <w:szCs w:val="32"/>
        </w:rPr>
        <w:t>2</w:t>
      </w:r>
      <w:r>
        <w:rPr>
          <w:rFonts w:hint="eastAsia" w:ascii="仿宋_GB2312" w:hAnsi="Calibri" w:eastAsia="仿宋_GB2312" w:cs="Times New Roman"/>
          <w:sz w:val="32"/>
          <w:szCs w:val="32"/>
        </w:rPr>
        <w:t>张。</w:t>
      </w:r>
    </w:p>
    <w:p>
      <w:pPr>
        <w:spacing w:line="560" w:lineRule="exact"/>
        <w:ind w:left="638" w:leftChars="304" w:firstLine="160" w:firstLineChars="50"/>
        <w:rPr>
          <w:rFonts w:ascii="仿宋_GB2312" w:hAnsi="Calibri" w:eastAsia="仿宋_GB2312" w:cs="Times New Roman"/>
          <w:sz w:val="32"/>
          <w:szCs w:val="32"/>
        </w:rPr>
      </w:pPr>
      <w:r>
        <w:rPr>
          <w:rFonts w:ascii="仿宋_GB2312" w:hAnsi="Calibri" w:eastAsia="仿宋_GB2312" w:cs="Times New Roman"/>
          <w:sz w:val="32"/>
          <w:szCs w:val="32"/>
        </w:rPr>
        <w:t>2</w:t>
      </w:r>
      <w:r>
        <w:rPr>
          <w:rFonts w:hint="eastAsia" w:ascii="仿宋_GB2312" w:hAnsi="Calibri" w:eastAsia="仿宋_GB2312" w:cs="Times New Roman"/>
          <w:sz w:val="32"/>
          <w:szCs w:val="32"/>
        </w:rPr>
        <w:t>、部门单位收入支出决算表。共计</w:t>
      </w:r>
      <w:r>
        <w:rPr>
          <w:rFonts w:ascii="仿宋_GB2312" w:hAnsi="Calibri" w:eastAsia="仿宋_GB2312" w:cs="Times New Roman"/>
          <w:sz w:val="32"/>
          <w:szCs w:val="32"/>
        </w:rPr>
        <w:t>1</w:t>
      </w:r>
      <w:r>
        <w:rPr>
          <w:rFonts w:hint="eastAsia" w:ascii="仿宋_GB2312" w:hAnsi="Calibri" w:eastAsia="仿宋_GB2312" w:cs="Times New Roman"/>
          <w:sz w:val="32"/>
          <w:szCs w:val="32"/>
        </w:rPr>
        <w:t>9张，主要包括：（</w:t>
      </w:r>
      <w:r>
        <w:rPr>
          <w:rFonts w:ascii="仿宋_GB2312" w:hAnsi="Calibri" w:eastAsia="仿宋_GB2312" w:cs="Times New Roman"/>
          <w:sz w:val="32"/>
          <w:szCs w:val="32"/>
        </w:rPr>
        <w:t>1</w:t>
      </w:r>
      <w:r>
        <w:rPr>
          <w:rFonts w:hint="eastAsia" w:ascii="仿宋_GB2312" w:hAnsi="Calibri" w:eastAsia="仿宋_GB2312" w:cs="Times New Roman"/>
          <w:sz w:val="32"/>
          <w:szCs w:val="32"/>
        </w:rPr>
        <w:t>）收入支出决算表（财决</w:t>
      </w:r>
      <w:r>
        <w:rPr>
          <w:rFonts w:ascii="仿宋_GB2312" w:hAnsi="Calibri" w:eastAsia="仿宋_GB2312" w:cs="Times New Roman"/>
          <w:sz w:val="32"/>
          <w:szCs w:val="32"/>
        </w:rPr>
        <w:t>02</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）收入决算表（财决</w:t>
      </w:r>
      <w:r>
        <w:rPr>
          <w:rFonts w:ascii="仿宋_GB2312" w:hAnsi="Calibri" w:eastAsia="仿宋_GB2312" w:cs="Times New Roman"/>
          <w:sz w:val="32"/>
          <w:szCs w:val="32"/>
        </w:rPr>
        <w:t>03</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3</w:t>
      </w:r>
      <w:r>
        <w:rPr>
          <w:rFonts w:hint="eastAsia" w:ascii="仿宋_GB2312" w:hAnsi="Calibri" w:eastAsia="仿宋_GB2312" w:cs="Times New Roman"/>
          <w:sz w:val="32"/>
          <w:szCs w:val="32"/>
        </w:rPr>
        <w:t>）支出决算表（财决</w:t>
      </w:r>
      <w:r>
        <w:rPr>
          <w:rFonts w:ascii="仿宋_GB2312" w:hAnsi="Calibri" w:eastAsia="仿宋_GB2312" w:cs="Times New Roman"/>
          <w:sz w:val="32"/>
          <w:szCs w:val="32"/>
        </w:rPr>
        <w:t>04</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4</w:t>
      </w:r>
      <w:r>
        <w:rPr>
          <w:rFonts w:hint="eastAsia" w:ascii="仿宋_GB2312" w:hAnsi="Calibri" w:eastAsia="仿宋_GB2312" w:cs="Times New Roman"/>
          <w:sz w:val="32"/>
          <w:szCs w:val="32"/>
        </w:rPr>
        <w:t>）支出决算明细表（财决</w:t>
      </w:r>
      <w:r>
        <w:rPr>
          <w:rFonts w:ascii="仿宋_GB2312" w:hAnsi="Calibri" w:eastAsia="仿宋_GB2312" w:cs="Times New Roman"/>
          <w:sz w:val="32"/>
          <w:szCs w:val="32"/>
        </w:rPr>
        <w:t>05</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5</w:t>
      </w:r>
      <w:r>
        <w:rPr>
          <w:rFonts w:hint="eastAsia" w:ascii="仿宋_GB2312" w:hAnsi="Calibri" w:eastAsia="仿宋_GB2312" w:cs="Times New Roman"/>
          <w:sz w:val="32"/>
          <w:szCs w:val="32"/>
        </w:rPr>
        <w:t>）基本支出决算明细表（财决</w:t>
      </w:r>
      <w:r>
        <w:rPr>
          <w:rFonts w:ascii="仿宋_GB2312" w:hAnsi="Calibri" w:eastAsia="仿宋_GB2312" w:cs="Times New Roman"/>
          <w:sz w:val="32"/>
          <w:szCs w:val="32"/>
        </w:rPr>
        <w:t>05</w:t>
      </w:r>
      <w:r>
        <w:rPr>
          <w:rFonts w:hint="eastAsia" w:ascii="仿宋_GB2312" w:hAnsi="Calibri" w:eastAsia="仿宋_GB2312" w:cs="Times New Roman"/>
          <w:sz w:val="32"/>
          <w:szCs w:val="32"/>
        </w:rPr>
        <w:t>－</w:t>
      </w:r>
      <w:r>
        <w:rPr>
          <w:rFonts w:ascii="仿宋_GB2312" w:hAnsi="Calibri" w:eastAsia="仿宋_GB2312" w:cs="Times New Roman"/>
          <w:sz w:val="32"/>
          <w:szCs w:val="32"/>
        </w:rPr>
        <w:t>1</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6</w:t>
      </w:r>
      <w:r>
        <w:rPr>
          <w:rFonts w:hint="eastAsia" w:ascii="仿宋_GB2312" w:hAnsi="Calibri" w:eastAsia="仿宋_GB2312" w:cs="Times New Roman"/>
          <w:sz w:val="32"/>
          <w:szCs w:val="32"/>
        </w:rPr>
        <w:t>）项目支出决算明细表（财决</w:t>
      </w:r>
      <w:r>
        <w:rPr>
          <w:rFonts w:ascii="仿宋_GB2312" w:hAnsi="Calibri" w:eastAsia="仿宋_GB2312" w:cs="Times New Roman"/>
          <w:sz w:val="32"/>
          <w:szCs w:val="32"/>
        </w:rPr>
        <w:t>05</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7</w:t>
      </w:r>
      <w:r>
        <w:rPr>
          <w:rFonts w:hint="eastAsia" w:ascii="仿宋_GB2312" w:hAnsi="Calibri" w:eastAsia="仿宋_GB2312" w:cs="Times New Roman"/>
          <w:sz w:val="32"/>
          <w:szCs w:val="32"/>
        </w:rPr>
        <w:t>）项目收入支出决算表（财决</w:t>
      </w:r>
      <w:r>
        <w:rPr>
          <w:rFonts w:ascii="仿宋_GB2312" w:hAnsi="Calibri" w:eastAsia="仿宋_GB2312" w:cs="Times New Roman"/>
          <w:sz w:val="32"/>
          <w:szCs w:val="32"/>
        </w:rPr>
        <w:t>06</w:t>
      </w:r>
      <w:r>
        <w:rPr>
          <w:rFonts w:hint="eastAsia" w:ascii="仿宋_GB2312" w:hAnsi="Calibri" w:eastAsia="仿宋_GB2312" w:cs="Times New Roman"/>
          <w:sz w:val="32"/>
          <w:szCs w:val="32"/>
        </w:rPr>
        <w:t>表）；</w:t>
      </w:r>
    </w:p>
    <w:p>
      <w:pPr>
        <w:spacing w:line="560" w:lineRule="exact"/>
        <w:ind w:left="638" w:leftChars="304"/>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8</w:t>
      </w:r>
      <w:r>
        <w:rPr>
          <w:rFonts w:hint="eastAsia" w:ascii="仿宋_GB2312" w:hAnsi="Calibri" w:eastAsia="仿宋_GB2312" w:cs="Times New Roman"/>
          <w:sz w:val="32"/>
          <w:szCs w:val="32"/>
        </w:rPr>
        <w:t>）行政事业类项目收入支出决算表（财决</w:t>
      </w:r>
      <w:r>
        <w:rPr>
          <w:rFonts w:ascii="仿宋_GB2312" w:hAnsi="Calibri" w:eastAsia="仿宋_GB2312" w:cs="Times New Roman"/>
          <w:sz w:val="32"/>
          <w:szCs w:val="32"/>
        </w:rPr>
        <w:t>06</w:t>
      </w:r>
      <w:r>
        <w:rPr>
          <w:rFonts w:hint="eastAsia" w:ascii="仿宋_GB2312" w:hAnsi="Calibri" w:eastAsia="仿宋_GB2312" w:cs="Times New Roman"/>
          <w:sz w:val="32"/>
          <w:szCs w:val="32"/>
        </w:rPr>
        <w:t>－</w:t>
      </w:r>
      <w:r>
        <w:rPr>
          <w:rFonts w:ascii="仿宋_GB2312" w:hAnsi="Calibri" w:eastAsia="仿宋_GB2312" w:cs="Times New Roman"/>
          <w:sz w:val="32"/>
          <w:szCs w:val="32"/>
        </w:rPr>
        <w:t>1</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9</w:t>
      </w:r>
      <w:r>
        <w:rPr>
          <w:rFonts w:hint="eastAsia" w:ascii="仿宋_GB2312" w:hAnsi="Calibri" w:eastAsia="仿宋_GB2312" w:cs="Times New Roman"/>
          <w:sz w:val="32"/>
          <w:szCs w:val="32"/>
        </w:rPr>
        <w:t>）基本建设类项目收入支出决算表（财决</w:t>
      </w:r>
      <w:r>
        <w:rPr>
          <w:rFonts w:ascii="仿宋_GB2312" w:hAnsi="Calibri" w:eastAsia="仿宋_GB2312" w:cs="Times New Roman"/>
          <w:sz w:val="32"/>
          <w:szCs w:val="32"/>
        </w:rPr>
        <w:t>06</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10</w:t>
      </w:r>
      <w:r>
        <w:rPr>
          <w:rFonts w:hint="eastAsia" w:ascii="仿宋_GB2312" w:hAnsi="Calibri" w:eastAsia="仿宋_GB2312" w:cs="Times New Roman"/>
          <w:sz w:val="32"/>
          <w:szCs w:val="32"/>
        </w:rPr>
        <w:t>）一般公共预算财政拨款收入支出决算表（财决</w:t>
      </w:r>
      <w:r>
        <w:rPr>
          <w:rFonts w:ascii="仿宋_GB2312" w:hAnsi="Calibri" w:eastAsia="仿宋_GB2312" w:cs="Times New Roman"/>
          <w:sz w:val="32"/>
          <w:szCs w:val="32"/>
        </w:rPr>
        <w:t>07</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11</w:t>
      </w:r>
      <w:r>
        <w:rPr>
          <w:rFonts w:hint="eastAsia" w:ascii="仿宋_GB2312" w:hAnsi="Calibri" w:eastAsia="仿宋_GB2312" w:cs="Times New Roman"/>
          <w:sz w:val="32"/>
          <w:szCs w:val="32"/>
        </w:rPr>
        <w:t>）一般公共预算财政拨款支出决算明细表（财决</w:t>
      </w:r>
      <w:r>
        <w:rPr>
          <w:rFonts w:ascii="仿宋_GB2312" w:hAnsi="Calibri" w:eastAsia="仿宋_GB2312" w:cs="Times New Roman"/>
          <w:sz w:val="32"/>
          <w:szCs w:val="32"/>
        </w:rPr>
        <w:t>08</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12</w:t>
      </w:r>
      <w:r>
        <w:rPr>
          <w:rFonts w:hint="eastAsia" w:ascii="仿宋_GB2312" w:hAnsi="Calibri" w:eastAsia="仿宋_GB2312" w:cs="Times New Roman"/>
          <w:sz w:val="32"/>
          <w:szCs w:val="32"/>
        </w:rPr>
        <w:t>）一般公共预算财政拨款基本支出决算明细表（财决</w:t>
      </w:r>
      <w:r>
        <w:rPr>
          <w:rFonts w:ascii="仿宋_GB2312" w:hAnsi="Calibri" w:eastAsia="仿宋_GB2312" w:cs="Times New Roman"/>
          <w:sz w:val="32"/>
          <w:szCs w:val="32"/>
        </w:rPr>
        <w:t>08</w:t>
      </w:r>
      <w:r>
        <w:rPr>
          <w:rFonts w:hint="eastAsia" w:ascii="仿宋_GB2312" w:hAnsi="Calibri" w:eastAsia="仿宋_GB2312" w:cs="Times New Roman"/>
          <w:sz w:val="32"/>
          <w:szCs w:val="32"/>
        </w:rPr>
        <w:t>－</w:t>
      </w:r>
      <w:r>
        <w:rPr>
          <w:rFonts w:ascii="仿宋_GB2312" w:hAnsi="Calibri" w:eastAsia="仿宋_GB2312" w:cs="Times New Roman"/>
          <w:sz w:val="32"/>
          <w:szCs w:val="32"/>
        </w:rPr>
        <w:t>1</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13</w:t>
      </w:r>
      <w:r>
        <w:rPr>
          <w:rFonts w:hint="eastAsia" w:ascii="仿宋_GB2312" w:hAnsi="Calibri" w:eastAsia="仿宋_GB2312" w:cs="Times New Roman"/>
          <w:sz w:val="32"/>
          <w:szCs w:val="32"/>
        </w:rPr>
        <w:t>）一般公共预算财政拨款项目支出决算明细表（财决</w:t>
      </w:r>
      <w:r>
        <w:rPr>
          <w:rFonts w:ascii="仿宋_GB2312" w:hAnsi="Calibri" w:eastAsia="仿宋_GB2312" w:cs="Times New Roman"/>
          <w:sz w:val="32"/>
          <w:szCs w:val="32"/>
        </w:rPr>
        <w:t>08</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表）；</w:t>
      </w:r>
    </w:p>
    <w:p>
      <w:pPr>
        <w:spacing w:line="560" w:lineRule="exact"/>
        <w:ind w:left="638" w:leftChars="304"/>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14</w:t>
      </w:r>
      <w:r>
        <w:rPr>
          <w:rFonts w:hint="eastAsia" w:ascii="仿宋_GB2312" w:hAnsi="Calibri" w:eastAsia="仿宋_GB2312" w:cs="Times New Roman"/>
          <w:sz w:val="32"/>
          <w:szCs w:val="32"/>
        </w:rPr>
        <w:t>）政府性基金预算财政拨款收入支出决算表（财决</w:t>
      </w:r>
      <w:r>
        <w:rPr>
          <w:rFonts w:ascii="仿宋_GB2312" w:hAnsi="Calibri" w:eastAsia="仿宋_GB2312" w:cs="Times New Roman"/>
          <w:sz w:val="32"/>
          <w:szCs w:val="32"/>
        </w:rPr>
        <w:t>09</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15</w:t>
      </w:r>
      <w:r>
        <w:rPr>
          <w:rFonts w:hint="eastAsia" w:ascii="仿宋_GB2312" w:hAnsi="Calibri" w:eastAsia="仿宋_GB2312" w:cs="Times New Roman"/>
          <w:sz w:val="32"/>
          <w:szCs w:val="32"/>
        </w:rPr>
        <w:t>）政府性基金预算财政拨款支出决算明细表（财决</w:t>
      </w:r>
      <w:r>
        <w:rPr>
          <w:rFonts w:ascii="仿宋_GB2312" w:hAnsi="Calibri" w:eastAsia="仿宋_GB2312" w:cs="Times New Roman"/>
          <w:sz w:val="32"/>
          <w:szCs w:val="32"/>
        </w:rPr>
        <w:t>10</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16</w:t>
      </w:r>
      <w:r>
        <w:rPr>
          <w:rFonts w:hint="eastAsia" w:ascii="仿宋_GB2312" w:hAnsi="Calibri" w:eastAsia="仿宋_GB2312" w:cs="Times New Roman"/>
          <w:sz w:val="32"/>
          <w:szCs w:val="32"/>
        </w:rPr>
        <w:t>）政府性基金预算财政拨款基本支出决算明细表（财决</w:t>
      </w:r>
      <w:r>
        <w:rPr>
          <w:rFonts w:ascii="仿宋_GB2312" w:hAnsi="Calibri" w:eastAsia="仿宋_GB2312" w:cs="Times New Roman"/>
          <w:sz w:val="32"/>
          <w:szCs w:val="32"/>
        </w:rPr>
        <w:t>10</w:t>
      </w:r>
      <w:r>
        <w:rPr>
          <w:rFonts w:hint="eastAsia" w:ascii="仿宋_GB2312" w:hAnsi="Calibri" w:eastAsia="仿宋_GB2312" w:cs="Times New Roman"/>
          <w:sz w:val="32"/>
          <w:szCs w:val="32"/>
        </w:rPr>
        <w:t>－</w:t>
      </w:r>
      <w:r>
        <w:rPr>
          <w:rFonts w:ascii="仿宋_GB2312" w:hAnsi="Calibri" w:eastAsia="仿宋_GB2312" w:cs="Times New Roman"/>
          <w:sz w:val="32"/>
          <w:szCs w:val="32"/>
        </w:rPr>
        <w:t>1</w:t>
      </w:r>
      <w:r>
        <w:rPr>
          <w:rFonts w:hint="eastAsia" w:ascii="仿宋_GB2312" w:hAnsi="Calibri" w:eastAsia="仿宋_GB2312" w:cs="Times New Roman"/>
          <w:sz w:val="32"/>
          <w:szCs w:val="32"/>
        </w:rPr>
        <w:t>表）；</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17</w:t>
      </w:r>
      <w:r>
        <w:rPr>
          <w:rFonts w:hint="eastAsia" w:ascii="仿宋_GB2312" w:hAnsi="Calibri" w:eastAsia="仿宋_GB2312" w:cs="Times New Roman"/>
          <w:sz w:val="32"/>
          <w:szCs w:val="32"/>
        </w:rPr>
        <w:t>）政府性基金预算财政拨款项目支出决算明细表（财决</w:t>
      </w:r>
      <w:r>
        <w:rPr>
          <w:rFonts w:ascii="仿宋_GB2312" w:hAnsi="Calibri" w:eastAsia="仿宋_GB2312" w:cs="Times New Roman"/>
          <w:sz w:val="32"/>
          <w:szCs w:val="32"/>
        </w:rPr>
        <w:t>10</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表）。</w:t>
      </w:r>
    </w:p>
    <w:p>
      <w:pPr>
        <w:spacing w:line="560" w:lineRule="exact"/>
        <w:ind w:left="638" w:leftChars="304"/>
        <w:rPr>
          <w:rFonts w:ascii="仿宋_GB2312" w:hAnsi="Calibri" w:eastAsia="仿宋_GB2312" w:cs="Times New Roman"/>
          <w:sz w:val="32"/>
          <w:szCs w:val="32"/>
        </w:rPr>
      </w:pPr>
      <w:r>
        <w:rPr>
          <w:rFonts w:hint="eastAsia" w:ascii="仿宋_GB2312" w:hAnsi="Calibri" w:eastAsia="仿宋_GB2312" w:cs="Times New Roman"/>
          <w:sz w:val="32"/>
          <w:szCs w:val="32"/>
        </w:rPr>
        <w:t>（18）财政专户资金收入支出决算表（财决11表）</w:t>
      </w:r>
    </w:p>
    <w:p>
      <w:pPr>
        <w:spacing w:line="560" w:lineRule="exact"/>
        <w:ind w:left="638" w:leftChars="304"/>
        <w:rPr>
          <w:rFonts w:ascii="仿宋_GB2312" w:hAnsi="Calibri" w:eastAsia="仿宋_GB2312" w:cs="Times New Roman"/>
          <w:sz w:val="32"/>
          <w:szCs w:val="32"/>
        </w:rPr>
      </w:pPr>
      <w:r>
        <w:rPr>
          <w:rFonts w:hint="eastAsia" w:ascii="仿宋_GB2312" w:hAnsi="Calibri" w:eastAsia="仿宋_GB2312" w:cs="Times New Roman"/>
          <w:sz w:val="32"/>
          <w:szCs w:val="32"/>
        </w:rPr>
        <w:t>（19）资产负债简表（财决12表）</w:t>
      </w:r>
    </w:p>
    <w:p>
      <w:pPr>
        <w:spacing w:line="460" w:lineRule="exact"/>
        <w:ind w:firstLine="640" w:firstLineChars="200"/>
        <w:rPr>
          <w:rFonts w:ascii="仿宋_GB2312" w:eastAsia="仿宋_GB2312"/>
          <w:sz w:val="32"/>
          <w:szCs w:val="32"/>
        </w:rPr>
      </w:pPr>
    </w:p>
    <w:p>
      <w:pPr>
        <w:spacing w:line="460" w:lineRule="exact"/>
        <w:ind w:firstLine="640" w:firstLineChars="200"/>
        <w:rPr>
          <w:rFonts w:ascii="仿宋_GB2312" w:eastAsia="仿宋_GB2312"/>
          <w:sz w:val="32"/>
          <w:szCs w:val="32"/>
        </w:rPr>
      </w:pPr>
    </w:p>
    <w:p>
      <w:pPr>
        <w:spacing w:line="460" w:lineRule="exact"/>
        <w:ind w:firstLine="640" w:firstLineChars="200"/>
        <w:rPr>
          <w:rFonts w:ascii="仿宋_GB2312" w:eastAsia="仿宋_GB2312"/>
          <w:sz w:val="32"/>
          <w:szCs w:val="32"/>
        </w:rPr>
      </w:pPr>
    </w:p>
    <w:p>
      <w:pPr>
        <w:spacing w:line="460" w:lineRule="exact"/>
        <w:ind w:firstLine="640" w:firstLineChars="200"/>
        <w:rPr>
          <w:rFonts w:ascii="仿宋_GB2312" w:eastAsia="仿宋_GB2312"/>
          <w:sz w:val="32"/>
          <w:szCs w:val="32"/>
        </w:rPr>
      </w:pPr>
    </w:p>
    <w:p>
      <w:pPr>
        <w:spacing w:line="460" w:lineRule="exact"/>
        <w:ind w:firstLine="640" w:firstLineChars="200"/>
        <w:rPr>
          <w:rFonts w:ascii="仿宋_GB2312" w:eastAsia="仿宋_GB2312"/>
          <w:sz w:val="32"/>
          <w:szCs w:val="32"/>
        </w:rPr>
      </w:pPr>
    </w:p>
    <w:tbl>
      <w:tblPr>
        <w:tblStyle w:val="7"/>
        <w:tblW w:w="14792" w:type="dxa"/>
        <w:tblInd w:w="93" w:type="dxa"/>
        <w:tblLayout w:type="fixed"/>
        <w:tblCellMar>
          <w:top w:w="0" w:type="dxa"/>
          <w:left w:w="108" w:type="dxa"/>
          <w:bottom w:w="0" w:type="dxa"/>
          <w:right w:w="108" w:type="dxa"/>
        </w:tblCellMar>
      </w:tblPr>
      <w:tblGrid>
        <w:gridCol w:w="582"/>
        <w:gridCol w:w="426"/>
        <w:gridCol w:w="567"/>
        <w:gridCol w:w="850"/>
        <w:gridCol w:w="567"/>
        <w:gridCol w:w="425"/>
        <w:gridCol w:w="426"/>
        <w:gridCol w:w="425"/>
        <w:gridCol w:w="425"/>
        <w:gridCol w:w="403"/>
        <w:gridCol w:w="164"/>
        <w:gridCol w:w="576"/>
        <w:gridCol w:w="144"/>
        <w:gridCol w:w="92"/>
        <w:gridCol w:w="464"/>
        <w:gridCol w:w="567"/>
        <w:gridCol w:w="613"/>
        <w:gridCol w:w="521"/>
        <w:gridCol w:w="142"/>
        <w:gridCol w:w="377"/>
        <w:gridCol w:w="1120"/>
        <w:gridCol w:w="236"/>
        <w:gridCol w:w="720"/>
        <w:gridCol w:w="740"/>
        <w:gridCol w:w="1120"/>
        <w:gridCol w:w="2100"/>
      </w:tblGrid>
      <w:tr>
        <w:tblPrEx>
          <w:tblLayout w:type="fixed"/>
          <w:tblCellMar>
            <w:top w:w="0" w:type="dxa"/>
            <w:left w:w="108" w:type="dxa"/>
            <w:bottom w:w="0" w:type="dxa"/>
            <w:right w:w="108" w:type="dxa"/>
          </w:tblCellMar>
        </w:tblPrEx>
        <w:trPr>
          <w:gridAfter w:val="7"/>
          <w:wAfter w:w="6413" w:type="dxa"/>
          <w:trHeight w:val="285" w:hRule="atLeast"/>
        </w:trPr>
        <w:tc>
          <w:tcPr>
            <w:tcW w:w="8379" w:type="dxa"/>
            <w:gridSpan w:val="19"/>
            <w:tcBorders>
              <w:top w:val="nil"/>
              <w:left w:val="nil"/>
              <w:bottom w:val="nil"/>
              <w:right w:val="nil"/>
            </w:tcBorders>
            <w:shd w:val="clear" w:color="auto" w:fill="auto"/>
            <w:vAlign w:val="bottom"/>
          </w:tcPr>
          <w:p>
            <w:pPr>
              <w:widowControl/>
              <w:jc w:val="left"/>
              <w:rPr>
                <w:rFonts w:ascii="宋体" w:hAnsi="宋体" w:eastAsia="宋体" w:cs="Arial"/>
                <w:b/>
                <w:bCs/>
                <w:color w:val="000000"/>
                <w:kern w:val="0"/>
                <w:sz w:val="22"/>
              </w:rPr>
            </w:pPr>
          </w:p>
          <w:p>
            <w:pPr>
              <w:widowControl/>
              <w:jc w:val="left"/>
              <w:rPr>
                <w:rFonts w:ascii="宋体" w:hAnsi="宋体" w:eastAsia="宋体" w:cs="Arial"/>
                <w:b/>
                <w:bCs/>
                <w:color w:val="000000"/>
                <w:kern w:val="0"/>
                <w:sz w:val="22"/>
              </w:rPr>
            </w:pPr>
            <w:r>
              <w:rPr>
                <w:rFonts w:hint="eastAsia" w:ascii="宋体" w:hAnsi="宋体" w:eastAsia="宋体" w:cs="Arial"/>
                <w:b/>
                <w:bCs/>
                <w:color w:val="000000"/>
                <w:kern w:val="0"/>
                <w:sz w:val="22"/>
              </w:rPr>
              <w:t>附件2：</w:t>
            </w:r>
          </w:p>
        </w:tc>
      </w:tr>
      <w:tr>
        <w:tblPrEx>
          <w:tblLayout w:type="fixed"/>
          <w:tblCellMar>
            <w:top w:w="0" w:type="dxa"/>
            <w:left w:w="108" w:type="dxa"/>
            <w:bottom w:w="0" w:type="dxa"/>
            <w:right w:w="108" w:type="dxa"/>
          </w:tblCellMar>
        </w:tblPrEx>
        <w:trPr>
          <w:gridAfter w:val="7"/>
          <w:wAfter w:w="6413" w:type="dxa"/>
          <w:trHeight w:val="810" w:hRule="atLeast"/>
        </w:trPr>
        <w:tc>
          <w:tcPr>
            <w:tcW w:w="8379" w:type="dxa"/>
            <w:gridSpan w:val="19"/>
            <w:tcBorders>
              <w:top w:val="nil"/>
              <w:left w:val="nil"/>
              <w:bottom w:val="nil"/>
              <w:right w:val="nil"/>
            </w:tcBorders>
            <w:shd w:val="clear" w:color="auto" w:fill="auto"/>
            <w:vAlign w:val="center"/>
          </w:tcPr>
          <w:p>
            <w:pPr>
              <w:widowControl/>
              <w:tabs>
                <w:tab w:val="left" w:pos="8271"/>
              </w:tabs>
              <w:ind w:right="-107" w:rightChars="-51"/>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2016年</w:t>
            </w:r>
            <w:r>
              <w:rPr>
                <w:rFonts w:hint="eastAsia" w:ascii="Times New Roman" w:hAnsi="Times New Roman" w:eastAsia="方正小标宋_GBK" w:cs="Times New Roman"/>
                <w:sz w:val="44"/>
                <w:szCs w:val="44"/>
                <w:lang w:eastAsia="zh-CN"/>
              </w:rPr>
              <w:t>乌鲁木齐职业大学</w:t>
            </w:r>
            <w:r>
              <w:rPr>
                <w:rFonts w:hint="eastAsia" w:ascii="Times New Roman" w:hAnsi="Times New Roman" w:eastAsia="方正小标宋_GBK" w:cs="Times New Roman"/>
                <w:sz w:val="44"/>
                <w:szCs w:val="44"/>
              </w:rPr>
              <w:t>财政拨款“三公”经费支出表及说明</w:t>
            </w:r>
          </w:p>
        </w:tc>
      </w:tr>
      <w:tr>
        <w:tblPrEx>
          <w:tblLayout w:type="fixed"/>
          <w:tblCellMar>
            <w:top w:w="0" w:type="dxa"/>
            <w:left w:w="108" w:type="dxa"/>
            <w:bottom w:w="0" w:type="dxa"/>
            <w:right w:w="108" w:type="dxa"/>
          </w:tblCellMar>
        </w:tblPrEx>
        <w:trPr>
          <w:trHeight w:val="465" w:hRule="atLeast"/>
        </w:trPr>
        <w:tc>
          <w:tcPr>
            <w:tcW w:w="582" w:type="dxa"/>
            <w:tcBorders>
              <w:top w:val="nil"/>
              <w:left w:val="nil"/>
              <w:bottom w:val="nil"/>
              <w:right w:val="nil"/>
            </w:tcBorders>
            <w:shd w:val="clear" w:color="auto" w:fill="auto"/>
            <w:vAlign w:val="center"/>
          </w:tcPr>
          <w:p>
            <w:pPr>
              <w:widowControl/>
              <w:ind w:firstLine="440" w:firstLineChars="200"/>
              <w:jc w:val="right"/>
              <w:rPr>
                <w:rFonts w:ascii="宋体" w:hAnsi="宋体" w:eastAsia="宋体" w:cs="Arial"/>
                <w:color w:val="000000"/>
                <w:kern w:val="0"/>
                <w:sz w:val="22"/>
              </w:rPr>
            </w:pPr>
          </w:p>
        </w:tc>
        <w:tc>
          <w:tcPr>
            <w:tcW w:w="4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521" w:type="dxa"/>
            <w:gridSpan w:val="7"/>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644"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04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100" w:type="dxa"/>
            <w:tcBorders>
              <w:top w:val="nil"/>
              <w:left w:val="nil"/>
              <w:bottom w:val="single" w:color="auto" w:sz="4" w:space="0"/>
              <w:right w:val="nil"/>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因公出国（境）费用</w:t>
            </w: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c>
          <w:tcPr>
            <w:tcW w:w="482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公务用车购置及运行维护费</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84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公务用车运行维护费</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eastAsia="zh-CN"/>
              </w:rPr>
              <w:t>乌鲁木齐职业大学</w:t>
            </w:r>
            <w:r>
              <w:rPr>
                <w:rFonts w:hint="eastAsia" w:ascii="宋体" w:hAnsi="宋体" w:eastAsia="宋体" w:cs="Arial"/>
                <w:color w:val="000000"/>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11"/>
                <w:szCs w:val="11"/>
                <w:lang w:val="en-US" w:eastAsia="zh-CN"/>
              </w:rPr>
            </w:pPr>
            <w:r>
              <w:rPr>
                <w:rFonts w:hint="eastAsia" w:ascii="宋体" w:hAnsi="宋体" w:eastAsia="宋体" w:cs="Arial"/>
                <w:color w:val="000000"/>
                <w:kern w:val="0"/>
                <w:sz w:val="11"/>
                <w:szCs w:val="11"/>
                <w:lang w:val="en-US" w:eastAsia="zh-CN"/>
              </w:rPr>
              <w:t>1115764.25</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256250.95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8099</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15"/>
                <w:szCs w:val="15"/>
                <w:lang w:val="en-US" w:eastAsia="zh-CN"/>
              </w:rPr>
              <w:t>8099</w:t>
            </w:r>
          </w:p>
        </w:tc>
        <w:tc>
          <w:tcPr>
            <w:tcW w:w="4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0</w:t>
            </w:r>
            <w:r>
              <w:rPr>
                <w:rFonts w:hint="eastAsia" w:ascii="宋体" w:hAnsi="宋体" w:eastAsia="宋体" w:cs="Arial"/>
                <w:color w:val="000000"/>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851414.3</w:t>
            </w:r>
          </w:p>
        </w:tc>
        <w:tc>
          <w:tcPr>
            <w:tcW w:w="4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798045.30</w:t>
            </w:r>
            <w:r>
              <w:rPr>
                <w:rFonts w:hint="eastAsia" w:ascii="宋体" w:hAnsi="宋体" w:eastAsia="宋体" w:cs="Arial"/>
                <w:color w:val="000000"/>
                <w:kern w:val="0"/>
                <w:sz w:val="20"/>
                <w:szCs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53369</w:t>
            </w:r>
            <w:r>
              <w:rPr>
                <w:rFonts w:hint="eastAsia" w:ascii="宋体" w:hAnsi="宋体" w:eastAsia="宋体" w:cs="Arial"/>
                <w:color w:val="000000"/>
                <w:kern w:val="0"/>
                <w:sz w:val="20"/>
                <w:szCs w:val="20"/>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0</w:t>
            </w:r>
          </w:p>
        </w:tc>
        <w:tc>
          <w:tcPr>
            <w:tcW w:w="5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r>
              <w:rPr>
                <w:rFonts w:hint="eastAsia" w:ascii="宋体" w:hAnsi="宋体" w:eastAsia="宋体" w:cs="Arial"/>
                <w:color w:val="000000"/>
                <w:kern w:val="0"/>
                <w:sz w:val="20"/>
                <w:szCs w:val="20"/>
                <w:lang w:val="en-US" w:eastAsia="zh-CN"/>
              </w:rPr>
              <w:t>0</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lang w:val="en-US" w:eastAsia="zh-CN"/>
              </w:rPr>
              <w:t>851414.3</w:t>
            </w:r>
            <w:r>
              <w:rPr>
                <w:rFonts w:hint="eastAsia" w:ascii="宋体" w:hAnsi="宋体" w:eastAsia="宋体" w:cs="Arial"/>
                <w:color w:val="000000"/>
                <w:kern w:val="0"/>
                <w:sz w:val="20"/>
                <w:szCs w:val="20"/>
              </w:rPr>
              <w:t>　</w:t>
            </w:r>
          </w:p>
        </w:tc>
        <w:tc>
          <w:tcPr>
            <w:tcW w:w="613"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lang w:val="en-US" w:eastAsia="zh-CN"/>
              </w:rPr>
              <w:t>798045.30</w:t>
            </w:r>
          </w:p>
        </w:tc>
        <w:tc>
          <w:tcPr>
            <w:tcW w:w="5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lang w:val="en-US" w:eastAsia="zh-CN"/>
              </w:rPr>
              <w:t>53369</w:t>
            </w:r>
          </w:p>
        </w:tc>
      </w:tr>
      <w:tr>
        <w:tblPrEx>
          <w:tblLayout w:type="fixed"/>
          <w:tblCellMar>
            <w:top w:w="0" w:type="dxa"/>
            <w:left w:w="108" w:type="dxa"/>
            <w:bottom w:w="0" w:type="dxa"/>
            <w:right w:w="108" w:type="dxa"/>
          </w:tblCellMar>
        </w:tblPrEx>
        <w:trPr>
          <w:gridAfter w:val="8"/>
          <w:wAfter w:w="6555" w:type="dxa"/>
          <w:trHeight w:val="225" w:hRule="atLeast"/>
        </w:trPr>
        <w:tc>
          <w:tcPr>
            <w:tcW w:w="582" w:type="dxa"/>
            <w:tcBorders>
              <w:top w:val="nil"/>
              <w:left w:val="nil"/>
              <w:bottom w:val="nil"/>
              <w:right w:val="nil"/>
            </w:tcBorders>
            <w:shd w:val="clear" w:color="auto" w:fill="auto"/>
            <w:vAlign w:val="center"/>
          </w:tcPr>
          <w:p>
            <w:pPr>
              <w:widowControl/>
              <w:jc w:val="center"/>
              <w:rPr>
                <w:rFonts w:ascii="宋体" w:hAnsi="宋体" w:eastAsia="宋体" w:cs="Arial"/>
                <w:color w:val="000000"/>
                <w:kern w:val="0"/>
                <w:sz w:val="22"/>
              </w:rPr>
            </w:pPr>
          </w:p>
        </w:tc>
        <w:tc>
          <w:tcPr>
            <w:tcW w:w="4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8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4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67"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72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5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61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521"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gridAfter w:val="8"/>
          <w:wAfter w:w="6555" w:type="dxa"/>
          <w:trHeight w:val="2745" w:hRule="atLeast"/>
        </w:trPr>
        <w:tc>
          <w:tcPr>
            <w:tcW w:w="8237" w:type="dxa"/>
            <w:gridSpan w:val="18"/>
            <w:tcBorders>
              <w:top w:val="nil"/>
              <w:left w:val="nil"/>
              <w:bottom w:val="nil"/>
              <w:right w:val="nil"/>
            </w:tcBorders>
            <w:shd w:val="clear" w:color="auto" w:fill="auto"/>
            <w:vAlign w:val="center"/>
          </w:tcPr>
          <w:p>
            <w:pPr>
              <w:widowControl/>
              <w:jc w:val="left"/>
              <w:rPr>
                <w:rFonts w:ascii="宋体" w:hAnsi="宋体" w:eastAsia="宋体" w:cs="Arial"/>
                <w:b/>
                <w:bCs/>
                <w:color w:val="000000"/>
                <w:kern w:val="0"/>
                <w:sz w:val="28"/>
                <w:szCs w:val="28"/>
              </w:rPr>
            </w:pPr>
            <w:r>
              <w:rPr>
                <w:rFonts w:hint="eastAsia" w:ascii="仿宋_GB2312" w:hAnsi="宋体" w:eastAsia="仿宋_GB2312" w:cs="Arial"/>
                <w:b/>
                <w:bCs/>
                <w:color w:val="000000"/>
                <w:kern w:val="0"/>
                <w:sz w:val="28"/>
                <w:szCs w:val="28"/>
              </w:rPr>
              <w:t>说明：</w:t>
            </w:r>
            <w:r>
              <w:rPr>
                <w:rFonts w:hint="eastAsia" w:ascii="仿宋_GB2312" w:hAnsi="宋体" w:eastAsia="仿宋_GB2312" w:cs="Arial"/>
                <w:color w:val="000000"/>
                <w:kern w:val="0"/>
                <w:sz w:val="28"/>
                <w:szCs w:val="28"/>
              </w:rPr>
              <w:t>在财政拨款“三公”经费公开中（含政府性基金），应对以下事项进行说明：                                                                                                                                1、出国团组数及人数</w:t>
            </w:r>
            <w:r>
              <w:rPr>
                <w:rFonts w:hint="eastAsia" w:ascii="仿宋_GB2312" w:hAnsi="宋体" w:eastAsia="仿宋_GB2312" w:cs="Arial"/>
                <w:color w:val="000000"/>
                <w:kern w:val="0"/>
                <w:sz w:val="28"/>
                <w:szCs w:val="28"/>
                <w:lang w:eastAsia="zh-CN"/>
              </w:rPr>
              <w:t>：</w:t>
            </w:r>
            <w:r>
              <w:rPr>
                <w:rFonts w:hint="eastAsia" w:ascii="仿宋_GB2312" w:hAnsi="宋体" w:eastAsia="仿宋_GB2312" w:cs="Arial"/>
                <w:color w:val="000000"/>
                <w:kern w:val="0"/>
                <w:sz w:val="28"/>
                <w:szCs w:val="28"/>
                <w:lang w:val="en-US" w:eastAsia="zh-CN"/>
              </w:rPr>
              <w:t>2组10人</w:t>
            </w:r>
            <w:r>
              <w:rPr>
                <w:rFonts w:hint="eastAsia" w:ascii="仿宋_GB2312" w:hAnsi="宋体" w:eastAsia="仿宋_GB2312" w:cs="Arial"/>
                <w:color w:val="000000"/>
                <w:kern w:val="0"/>
                <w:sz w:val="28"/>
                <w:szCs w:val="28"/>
              </w:rPr>
              <w:t xml:space="preserve">                                                                                            2、购置公务用车数量</w:t>
            </w:r>
            <w:r>
              <w:rPr>
                <w:rFonts w:hint="eastAsia" w:ascii="仿宋_GB2312" w:hAnsi="宋体" w:eastAsia="仿宋_GB2312" w:cs="Arial"/>
                <w:color w:val="000000"/>
                <w:kern w:val="0"/>
                <w:sz w:val="28"/>
                <w:szCs w:val="28"/>
                <w:lang w:val="en-US" w:eastAsia="zh-CN"/>
              </w:rPr>
              <w:t>0</w:t>
            </w:r>
            <w:r>
              <w:rPr>
                <w:rFonts w:hint="eastAsia" w:ascii="仿宋_GB2312" w:hAnsi="宋体" w:eastAsia="仿宋_GB2312" w:cs="Arial"/>
                <w:color w:val="000000"/>
                <w:kern w:val="0"/>
                <w:sz w:val="28"/>
                <w:szCs w:val="28"/>
              </w:rPr>
              <w:t>，年末单位公务用车保有量</w:t>
            </w:r>
            <w:r>
              <w:rPr>
                <w:rFonts w:hint="eastAsia" w:ascii="仿宋_GB2312" w:hAnsi="宋体" w:eastAsia="仿宋_GB2312" w:cs="Arial"/>
                <w:color w:val="000000"/>
                <w:kern w:val="0"/>
                <w:sz w:val="28"/>
                <w:szCs w:val="28"/>
                <w:lang w:val="en-US" w:eastAsia="zh-CN"/>
              </w:rPr>
              <w:t>25</w:t>
            </w:r>
            <w:r>
              <w:rPr>
                <w:rFonts w:hint="eastAsia" w:ascii="仿宋_GB2312" w:hAnsi="宋体" w:eastAsia="仿宋_GB2312" w:cs="Arial"/>
                <w:color w:val="000000"/>
                <w:kern w:val="0"/>
                <w:sz w:val="28"/>
                <w:szCs w:val="28"/>
              </w:rPr>
              <w:t>辆；单位年末一般公务用车</w:t>
            </w:r>
            <w:r>
              <w:rPr>
                <w:rFonts w:hint="eastAsia" w:ascii="仿宋_GB2312" w:hAnsi="宋体" w:eastAsia="仿宋_GB2312" w:cs="Arial"/>
                <w:color w:val="000000"/>
                <w:kern w:val="0"/>
                <w:sz w:val="28"/>
                <w:szCs w:val="28"/>
                <w:lang w:val="en-US" w:eastAsia="zh-CN"/>
              </w:rPr>
              <w:t>25</w:t>
            </w:r>
            <w:r>
              <w:rPr>
                <w:rFonts w:hint="eastAsia" w:ascii="仿宋_GB2312" w:hAnsi="宋体" w:eastAsia="仿宋_GB2312" w:cs="Arial"/>
                <w:color w:val="000000"/>
                <w:kern w:val="0"/>
                <w:sz w:val="28"/>
                <w:szCs w:val="28"/>
              </w:rPr>
              <w:t>辆，一般执法执勤用车</w:t>
            </w:r>
            <w:r>
              <w:rPr>
                <w:rFonts w:hint="eastAsia" w:ascii="仿宋_GB2312" w:hAnsi="宋体" w:eastAsia="仿宋_GB2312" w:cs="Arial"/>
                <w:color w:val="000000"/>
                <w:kern w:val="0"/>
                <w:sz w:val="28"/>
                <w:szCs w:val="28"/>
                <w:lang w:val="en-US" w:eastAsia="zh-CN"/>
              </w:rPr>
              <w:t>0</w:t>
            </w:r>
            <w:r>
              <w:rPr>
                <w:rFonts w:hint="eastAsia" w:ascii="仿宋_GB2312" w:hAnsi="宋体" w:eastAsia="仿宋_GB2312" w:cs="Arial"/>
                <w:color w:val="000000"/>
                <w:kern w:val="0"/>
                <w:sz w:val="28"/>
                <w:szCs w:val="28"/>
              </w:rPr>
              <w:t>辆，特种专业技术用车</w:t>
            </w:r>
            <w:r>
              <w:rPr>
                <w:rFonts w:hint="eastAsia" w:ascii="仿宋_GB2312" w:hAnsi="宋体" w:eastAsia="仿宋_GB2312" w:cs="Arial"/>
                <w:color w:val="000000"/>
                <w:kern w:val="0"/>
                <w:sz w:val="28"/>
                <w:szCs w:val="28"/>
                <w:lang w:val="en-US" w:eastAsia="zh-CN"/>
              </w:rPr>
              <w:t>0</w:t>
            </w:r>
            <w:r>
              <w:rPr>
                <w:rFonts w:hint="eastAsia" w:ascii="仿宋_GB2312" w:hAnsi="宋体" w:eastAsia="仿宋_GB2312" w:cs="Arial"/>
                <w:color w:val="000000"/>
                <w:kern w:val="0"/>
                <w:sz w:val="28"/>
                <w:szCs w:val="28"/>
              </w:rPr>
              <w:t>辆，其他用车</w:t>
            </w:r>
            <w:r>
              <w:rPr>
                <w:rFonts w:hint="eastAsia" w:ascii="仿宋_GB2312" w:hAnsi="宋体" w:eastAsia="仿宋_GB2312" w:cs="Arial"/>
                <w:color w:val="000000"/>
                <w:kern w:val="0"/>
                <w:sz w:val="28"/>
                <w:szCs w:val="28"/>
                <w:lang w:val="en-US" w:eastAsia="zh-CN"/>
              </w:rPr>
              <w:t>0</w:t>
            </w:r>
            <w:r>
              <w:rPr>
                <w:rFonts w:hint="eastAsia" w:ascii="仿宋_GB2312" w:hAnsi="宋体" w:eastAsia="仿宋_GB2312" w:cs="Arial"/>
                <w:color w:val="000000"/>
                <w:kern w:val="0"/>
                <w:sz w:val="28"/>
                <w:szCs w:val="28"/>
              </w:rPr>
              <w:t>辆。                                                                  3、公务接待</w:t>
            </w:r>
            <w:r>
              <w:rPr>
                <w:rFonts w:hint="eastAsia" w:ascii="仿宋_GB2312" w:hAnsi="宋体" w:eastAsia="仿宋_GB2312" w:cs="Arial"/>
                <w:color w:val="000000"/>
                <w:kern w:val="0"/>
                <w:sz w:val="28"/>
                <w:szCs w:val="28"/>
                <w:lang w:val="en-US" w:eastAsia="zh-CN"/>
              </w:rPr>
              <w:t>11</w:t>
            </w:r>
            <w:r>
              <w:rPr>
                <w:rFonts w:hint="eastAsia" w:ascii="仿宋_GB2312" w:hAnsi="宋体" w:eastAsia="仿宋_GB2312" w:cs="Arial"/>
                <w:color w:val="000000"/>
                <w:kern w:val="0"/>
                <w:sz w:val="28"/>
                <w:szCs w:val="28"/>
              </w:rPr>
              <w:t>批次，共</w:t>
            </w:r>
            <w:r>
              <w:rPr>
                <w:rFonts w:hint="eastAsia" w:ascii="仿宋_GB2312" w:hAnsi="宋体" w:eastAsia="仿宋_GB2312" w:cs="Arial"/>
                <w:color w:val="000000"/>
                <w:kern w:val="0"/>
                <w:sz w:val="28"/>
                <w:szCs w:val="28"/>
                <w:lang w:val="en-US" w:eastAsia="zh-CN"/>
              </w:rPr>
              <w:t>65</w:t>
            </w:r>
            <w:r>
              <w:rPr>
                <w:rFonts w:hint="eastAsia" w:ascii="仿宋_GB2312" w:hAnsi="宋体" w:eastAsia="仿宋_GB2312" w:cs="Arial"/>
                <w:color w:val="000000"/>
                <w:kern w:val="0"/>
                <w:sz w:val="28"/>
                <w:szCs w:val="28"/>
              </w:rPr>
              <w:t>人；                                                                                   4、其他需说明事项X</w:t>
            </w:r>
          </w:p>
        </w:tc>
      </w:tr>
    </w:tbl>
    <w:p>
      <w:pPr>
        <w:spacing w:line="460" w:lineRule="exact"/>
        <w:ind w:firstLine="640" w:firstLineChars="200"/>
        <w:rPr>
          <w:rFonts w:ascii="仿宋_GB2312" w:eastAsia="仿宋_GB2312"/>
          <w:sz w:val="32"/>
          <w:szCs w:val="32"/>
        </w:rPr>
      </w:pPr>
    </w:p>
    <w:p>
      <w:pPr>
        <w:spacing w:line="460" w:lineRule="exact"/>
        <w:ind w:firstLine="640" w:firstLineChars="200"/>
        <w:rPr>
          <w:rFonts w:ascii="仿宋_GB2312" w:eastAsia="仿宋_GB2312"/>
          <w:sz w:val="32"/>
          <w:szCs w:val="32"/>
        </w:rPr>
      </w:pPr>
    </w:p>
    <w:p>
      <w:pPr>
        <w:spacing w:line="560" w:lineRule="exact"/>
        <w:rPr>
          <w:rFonts w:ascii="Times New Roman" w:hAnsi="Times New Roman" w:eastAsia="方正小标宋简体" w:cs="Times New Roman"/>
          <w:b/>
          <w:sz w:val="32"/>
          <w:szCs w:val="32"/>
        </w:rPr>
      </w:pPr>
    </w:p>
    <w:p>
      <w:pPr>
        <w:spacing w:line="460" w:lineRule="exact"/>
        <w:ind w:firstLine="4640" w:firstLineChars="1450"/>
        <w:rPr>
          <w:rFonts w:ascii="仿宋_GB2312" w:eastAsia="仿宋_GB2312"/>
          <w:sz w:val="32"/>
          <w:szCs w:val="32"/>
        </w:rPr>
      </w:pPr>
      <w:r>
        <w:rPr>
          <w:rFonts w:hint="eastAsia" w:ascii="仿宋_GB2312" w:eastAsia="仿宋_GB2312"/>
          <w:sz w:val="32"/>
          <w:szCs w:val="32"/>
        </w:rPr>
        <w:t>2017年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方正仿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方正小标宋简体">
    <w:altName w:val="宋体-方正超大字符集"/>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3E8"/>
    <w:multiLevelType w:val="multilevel"/>
    <w:tmpl w:val="350243E8"/>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95AFDF3"/>
    <w:multiLevelType w:val="singleLevel"/>
    <w:tmpl w:val="595AFDF3"/>
    <w:lvl w:ilvl="0" w:tentative="0">
      <w:start w:val="2"/>
      <w:numFmt w:val="chineseCounting"/>
      <w:suff w:val="nothing"/>
      <w:lvlText w:val="(%1)"/>
      <w:lvlJc w:val="left"/>
    </w:lvl>
  </w:abstractNum>
  <w:abstractNum w:abstractNumId="2">
    <w:nsid w:val="595B008E"/>
    <w:multiLevelType w:val="singleLevel"/>
    <w:tmpl w:val="595B008E"/>
    <w:lvl w:ilvl="0" w:tentative="0">
      <w:start w:val="5"/>
      <w:numFmt w:val="chineseCounting"/>
      <w:suff w:val="nothing"/>
      <w:lvlText w:val="%1、"/>
      <w:lvlJc w:val="left"/>
    </w:lvl>
  </w:abstractNum>
  <w:abstractNum w:abstractNumId="3">
    <w:nsid w:val="595B0136"/>
    <w:multiLevelType w:val="singleLevel"/>
    <w:tmpl w:val="595B0136"/>
    <w:lvl w:ilvl="0" w:tentative="0">
      <w:start w:val="6"/>
      <w:numFmt w:val="chineseCounting"/>
      <w:suff w:val="nothing"/>
      <w:lvlText w:val="%1、"/>
      <w:lvlJc w:val="left"/>
    </w:lvl>
  </w:abstractNum>
  <w:abstractNum w:abstractNumId="4">
    <w:nsid w:val="595B7E9D"/>
    <w:multiLevelType w:val="singleLevel"/>
    <w:tmpl w:val="595B7E9D"/>
    <w:lvl w:ilvl="0" w:tentative="0">
      <w:start w:val="1"/>
      <w:numFmt w:val="chineseCounting"/>
      <w:suff w:val="nothing"/>
      <w:lvlText w:val="%1、"/>
      <w:lvlJc w:val="left"/>
    </w:lvl>
  </w:abstractNum>
  <w:abstractNum w:abstractNumId="5">
    <w:nsid w:val="5A1012AD"/>
    <w:multiLevelType w:val="singleLevel"/>
    <w:tmpl w:val="5A1012AD"/>
    <w:lvl w:ilvl="0" w:tentative="0">
      <w:start w:val="2"/>
      <w:numFmt w:val="decimal"/>
      <w:suff w:val="nothing"/>
      <w:lvlText w:val="%1、"/>
      <w:lvlJc w:val="left"/>
    </w:lvl>
  </w:abstractNum>
  <w:abstractNum w:abstractNumId="6">
    <w:nsid w:val="5A2F7555"/>
    <w:multiLevelType w:val="singleLevel"/>
    <w:tmpl w:val="5A2F7555"/>
    <w:lvl w:ilvl="0" w:tentative="0">
      <w:start w:val="3"/>
      <w:numFmt w:val="chineseCounting"/>
      <w:suff w:val="nothing"/>
      <w:lvlText w:val="（%1）"/>
      <w:lvlJc w:val="left"/>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2D"/>
    <w:rsid w:val="00013891"/>
    <w:rsid w:val="00015818"/>
    <w:rsid w:val="0002613D"/>
    <w:rsid w:val="00061BB1"/>
    <w:rsid w:val="00064AFA"/>
    <w:rsid w:val="000800DC"/>
    <w:rsid w:val="0008728F"/>
    <w:rsid w:val="00094A31"/>
    <w:rsid w:val="000E40C6"/>
    <w:rsid w:val="000E6084"/>
    <w:rsid w:val="000F55A0"/>
    <w:rsid w:val="00141020"/>
    <w:rsid w:val="00186E31"/>
    <w:rsid w:val="001A2EC9"/>
    <w:rsid w:val="001A31F7"/>
    <w:rsid w:val="001E2E4E"/>
    <w:rsid w:val="001E6EAB"/>
    <w:rsid w:val="00217BFC"/>
    <w:rsid w:val="0023451A"/>
    <w:rsid w:val="002735C4"/>
    <w:rsid w:val="00296536"/>
    <w:rsid w:val="002E18A2"/>
    <w:rsid w:val="003003FD"/>
    <w:rsid w:val="00317B57"/>
    <w:rsid w:val="00321CA7"/>
    <w:rsid w:val="003417DE"/>
    <w:rsid w:val="003966D5"/>
    <w:rsid w:val="003B4A1E"/>
    <w:rsid w:val="003F1A88"/>
    <w:rsid w:val="004007D4"/>
    <w:rsid w:val="00416148"/>
    <w:rsid w:val="0042129C"/>
    <w:rsid w:val="0044478C"/>
    <w:rsid w:val="004919F7"/>
    <w:rsid w:val="004E7C76"/>
    <w:rsid w:val="0051702D"/>
    <w:rsid w:val="0052068C"/>
    <w:rsid w:val="0052782A"/>
    <w:rsid w:val="00531427"/>
    <w:rsid w:val="00550C1D"/>
    <w:rsid w:val="005900EE"/>
    <w:rsid w:val="005D11CE"/>
    <w:rsid w:val="005D19A7"/>
    <w:rsid w:val="00634CC4"/>
    <w:rsid w:val="00690372"/>
    <w:rsid w:val="006D7703"/>
    <w:rsid w:val="006E53B8"/>
    <w:rsid w:val="00711021"/>
    <w:rsid w:val="00714515"/>
    <w:rsid w:val="00736E3E"/>
    <w:rsid w:val="00746D4C"/>
    <w:rsid w:val="00750022"/>
    <w:rsid w:val="00762986"/>
    <w:rsid w:val="00764843"/>
    <w:rsid w:val="0083572A"/>
    <w:rsid w:val="00861FF8"/>
    <w:rsid w:val="0088067A"/>
    <w:rsid w:val="008A63B3"/>
    <w:rsid w:val="008B6259"/>
    <w:rsid w:val="008D4723"/>
    <w:rsid w:val="008E7A01"/>
    <w:rsid w:val="008F6269"/>
    <w:rsid w:val="00931AAD"/>
    <w:rsid w:val="00941249"/>
    <w:rsid w:val="009B5506"/>
    <w:rsid w:val="00A42078"/>
    <w:rsid w:val="00A60E1D"/>
    <w:rsid w:val="00A62756"/>
    <w:rsid w:val="00A85F60"/>
    <w:rsid w:val="00A90317"/>
    <w:rsid w:val="00AA2095"/>
    <w:rsid w:val="00AC074D"/>
    <w:rsid w:val="00AC102C"/>
    <w:rsid w:val="00AC51CE"/>
    <w:rsid w:val="00AF4A4F"/>
    <w:rsid w:val="00B034B3"/>
    <w:rsid w:val="00B10DB4"/>
    <w:rsid w:val="00B2698D"/>
    <w:rsid w:val="00B65043"/>
    <w:rsid w:val="00B84A34"/>
    <w:rsid w:val="00B86D64"/>
    <w:rsid w:val="00BA1A3C"/>
    <w:rsid w:val="00BA208F"/>
    <w:rsid w:val="00C00690"/>
    <w:rsid w:val="00C06E53"/>
    <w:rsid w:val="00C43134"/>
    <w:rsid w:val="00C64430"/>
    <w:rsid w:val="00C775AB"/>
    <w:rsid w:val="00C8361F"/>
    <w:rsid w:val="00CA342C"/>
    <w:rsid w:val="00D07DEF"/>
    <w:rsid w:val="00D24325"/>
    <w:rsid w:val="00D4609C"/>
    <w:rsid w:val="00D50797"/>
    <w:rsid w:val="00D6573B"/>
    <w:rsid w:val="00D964C6"/>
    <w:rsid w:val="00DB34C3"/>
    <w:rsid w:val="00DB75A3"/>
    <w:rsid w:val="00DC24FC"/>
    <w:rsid w:val="00DD10E1"/>
    <w:rsid w:val="00E042A5"/>
    <w:rsid w:val="00E11096"/>
    <w:rsid w:val="00E509BA"/>
    <w:rsid w:val="00E840CA"/>
    <w:rsid w:val="00F10A7A"/>
    <w:rsid w:val="00F35815"/>
    <w:rsid w:val="00F46435"/>
    <w:rsid w:val="00F81056"/>
    <w:rsid w:val="00F86ED9"/>
    <w:rsid w:val="00FA2DEA"/>
    <w:rsid w:val="00FA7110"/>
    <w:rsid w:val="05761457"/>
    <w:rsid w:val="0579063A"/>
    <w:rsid w:val="05C12B23"/>
    <w:rsid w:val="0604202A"/>
    <w:rsid w:val="07A21FD1"/>
    <w:rsid w:val="08C157D6"/>
    <w:rsid w:val="096B18A2"/>
    <w:rsid w:val="0ABF0455"/>
    <w:rsid w:val="0ABF4668"/>
    <w:rsid w:val="0AC55126"/>
    <w:rsid w:val="0B554C23"/>
    <w:rsid w:val="0C2025AF"/>
    <w:rsid w:val="0C2203C4"/>
    <w:rsid w:val="0C973E86"/>
    <w:rsid w:val="0F8710CE"/>
    <w:rsid w:val="100655B6"/>
    <w:rsid w:val="11B85A4E"/>
    <w:rsid w:val="12752848"/>
    <w:rsid w:val="15F4349D"/>
    <w:rsid w:val="17E10192"/>
    <w:rsid w:val="184C4D9B"/>
    <w:rsid w:val="1CB717F6"/>
    <w:rsid w:val="1D622FA4"/>
    <w:rsid w:val="1FF85F72"/>
    <w:rsid w:val="20335293"/>
    <w:rsid w:val="215F31F8"/>
    <w:rsid w:val="2294099D"/>
    <w:rsid w:val="25A50181"/>
    <w:rsid w:val="25D50846"/>
    <w:rsid w:val="28B23D24"/>
    <w:rsid w:val="29B106EF"/>
    <w:rsid w:val="2A8A0F49"/>
    <w:rsid w:val="2B112E39"/>
    <w:rsid w:val="2BA61273"/>
    <w:rsid w:val="2C9F5EF0"/>
    <w:rsid w:val="2DBD7AB9"/>
    <w:rsid w:val="2DC00101"/>
    <w:rsid w:val="2DCC3771"/>
    <w:rsid w:val="2E372CA4"/>
    <w:rsid w:val="2F1813CE"/>
    <w:rsid w:val="2F2943F4"/>
    <w:rsid w:val="3219029D"/>
    <w:rsid w:val="32D23FE6"/>
    <w:rsid w:val="340464AD"/>
    <w:rsid w:val="35852AF2"/>
    <w:rsid w:val="39024147"/>
    <w:rsid w:val="3C0266D8"/>
    <w:rsid w:val="3D5645EC"/>
    <w:rsid w:val="3EBC1994"/>
    <w:rsid w:val="3F1F1426"/>
    <w:rsid w:val="3FF81DB5"/>
    <w:rsid w:val="42E13CFB"/>
    <w:rsid w:val="48263859"/>
    <w:rsid w:val="4BB53AFB"/>
    <w:rsid w:val="4ED66747"/>
    <w:rsid w:val="4FBB0CF8"/>
    <w:rsid w:val="529F52B5"/>
    <w:rsid w:val="52B034A6"/>
    <w:rsid w:val="52D635BF"/>
    <w:rsid w:val="578D07F9"/>
    <w:rsid w:val="5B854040"/>
    <w:rsid w:val="5C075D88"/>
    <w:rsid w:val="5CAE7220"/>
    <w:rsid w:val="5FE80A07"/>
    <w:rsid w:val="60EA415C"/>
    <w:rsid w:val="61BF7D27"/>
    <w:rsid w:val="641E6B92"/>
    <w:rsid w:val="64466075"/>
    <w:rsid w:val="65793A9E"/>
    <w:rsid w:val="69D9791F"/>
    <w:rsid w:val="6E4E1380"/>
    <w:rsid w:val="6FEE7B3E"/>
    <w:rsid w:val="707C39F4"/>
    <w:rsid w:val="71E23F79"/>
    <w:rsid w:val="74295ECE"/>
    <w:rsid w:val="74CA6D16"/>
    <w:rsid w:val="7C884E8E"/>
    <w:rsid w:val="7D7259BA"/>
    <w:rsid w:val="7DC5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A8330-3062-40D9-9671-7DD3A4685DE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335</Words>
  <Characters>1914</Characters>
  <Lines>15</Lines>
  <Paragraphs>4</Paragraphs>
  <ScaleCrop>false</ScaleCrop>
  <LinksUpToDate>false</LinksUpToDate>
  <CharactersWithSpaces>2245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2011-06-29T04:56:00Z</dcterms:created>
  <dc:creator>王伟东</dc:creator>
  <cp:lastModifiedBy>Administrator</cp:lastModifiedBy>
  <cp:lastPrinted>2017-06-27T10:49:00Z</cp:lastPrinted>
  <dcterms:modified xsi:type="dcterms:W3CDTF">2017-12-12T08:07:48Z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